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586A">
        <w:tc>
          <w:tcPr>
            <w:tcW w:w="2268" w:type="dxa"/>
          </w:tcPr>
          <w:p w:rsidR="006E4E11" w:rsidRPr="00DF586A"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DF586A" w:rsidRDefault="006E4E11" w:rsidP="007242A3">
            <w:pPr>
              <w:framePr w:w="5035" w:h="1644" w:wrap="notBeside" w:vAnchor="page" w:hAnchor="page" w:x="6573" w:y="721"/>
              <w:rPr>
                <w:rFonts w:ascii="TradeGothic" w:hAnsi="TradeGothic"/>
                <w:i/>
                <w:sz w:val="18"/>
              </w:rPr>
            </w:pPr>
          </w:p>
        </w:tc>
      </w:tr>
      <w:tr w:rsidR="006E4E11" w:rsidRPr="00DF586A">
        <w:tc>
          <w:tcPr>
            <w:tcW w:w="2268" w:type="dxa"/>
          </w:tcPr>
          <w:p w:rsidR="006E4E11" w:rsidRPr="00DF586A" w:rsidRDefault="00455491" w:rsidP="007242A3">
            <w:pPr>
              <w:framePr w:w="5035" w:h="1644" w:wrap="notBeside" w:vAnchor="page" w:hAnchor="page" w:x="6573" w:y="721"/>
              <w:rPr>
                <w:rFonts w:ascii="TradeGothic" w:hAnsi="TradeGothic"/>
                <w:b/>
                <w:sz w:val="22"/>
              </w:rPr>
            </w:pPr>
            <w:r>
              <w:rPr>
                <w:rFonts w:ascii="TradeGothic" w:hAnsi="TradeGothic"/>
                <w:b/>
                <w:sz w:val="22"/>
              </w:rPr>
              <w:t>Kommenterad dagordning</w:t>
            </w:r>
            <w:r w:rsidRPr="00DF586A">
              <w:rPr>
                <w:rFonts w:ascii="TradeGothic" w:hAnsi="TradeGothic"/>
                <w:b/>
                <w:sz w:val="22"/>
              </w:rPr>
              <w:t xml:space="preserve"> </w:t>
            </w:r>
          </w:p>
        </w:tc>
        <w:tc>
          <w:tcPr>
            <w:tcW w:w="2999" w:type="dxa"/>
            <w:gridSpan w:val="2"/>
          </w:tcPr>
          <w:p w:rsidR="006E4E11" w:rsidRPr="00DF586A" w:rsidRDefault="006E4E11" w:rsidP="007242A3">
            <w:pPr>
              <w:framePr w:w="5035" w:h="1644" w:wrap="notBeside" w:vAnchor="page" w:hAnchor="page" w:x="6573" w:y="721"/>
              <w:rPr>
                <w:rFonts w:ascii="TradeGothic" w:hAnsi="TradeGothic"/>
                <w:b/>
                <w:sz w:val="22"/>
              </w:rPr>
            </w:pPr>
          </w:p>
        </w:tc>
      </w:tr>
      <w:tr w:rsidR="006E4E11" w:rsidRPr="00DF586A">
        <w:tc>
          <w:tcPr>
            <w:tcW w:w="3402" w:type="dxa"/>
            <w:gridSpan w:val="2"/>
          </w:tcPr>
          <w:p w:rsidR="006E4E11" w:rsidRPr="00DF586A" w:rsidRDefault="006E4E11" w:rsidP="007242A3">
            <w:pPr>
              <w:framePr w:w="5035" w:h="1644" w:wrap="notBeside" w:vAnchor="page" w:hAnchor="page" w:x="6573" w:y="721"/>
            </w:pPr>
          </w:p>
        </w:tc>
        <w:tc>
          <w:tcPr>
            <w:tcW w:w="1865" w:type="dxa"/>
          </w:tcPr>
          <w:p w:rsidR="006E4E11" w:rsidRPr="00DF586A" w:rsidRDefault="006E4E11" w:rsidP="007242A3">
            <w:pPr>
              <w:framePr w:w="5035" w:h="1644" w:wrap="notBeside" w:vAnchor="page" w:hAnchor="page" w:x="6573" w:y="721"/>
            </w:pPr>
          </w:p>
        </w:tc>
      </w:tr>
      <w:tr w:rsidR="006E4E11" w:rsidRPr="00DF586A">
        <w:tc>
          <w:tcPr>
            <w:tcW w:w="2268" w:type="dxa"/>
          </w:tcPr>
          <w:p w:rsidR="006E4E11" w:rsidRDefault="00DF586A" w:rsidP="007242A3">
            <w:pPr>
              <w:framePr w:w="5035" w:h="1644" w:wrap="notBeside" w:vAnchor="page" w:hAnchor="page" w:x="6573" w:y="721"/>
            </w:pPr>
            <w:r>
              <w:t>2015-02-</w:t>
            </w:r>
            <w:r w:rsidR="00455491">
              <w:t>26</w:t>
            </w:r>
          </w:p>
          <w:p w:rsidR="004E1562" w:rsidRDefault="004E1562" w:rsidP="007242A3">
            <w:pPr>
              <w:framePr w:w="5035" w:h="1644" w:wrap="notBeside" w:vAnchor="page" w:hAnchor="page" w:x="6573" w:y="721"/>
            </w:pPr>
          </w:p>
          <w:p w:rsidR="004E1562" w:rsidRPr="00DF586A" w:rsidRDefault="004E1562" w:rsidP="007242A3">
            <w:pPr>
              <w:framePr w:w="5035" w:h="1644" w:wrap="notBeside" w:vAnchor="page" w:hAnchor="page" w:x="6573" w:y="721"/>
            </w:pPr>
          </w:p>
        </w:tc>
        <w:tc>
          <w:tcPr>
            <w:tcW w:w="2999" w:type="dxa"/>
            <w:gridSpan w:val="2"/>
          </w:tcPr>
          <w:p w:rsidR="006E4E11" w:rsidRPr="00DF586A" w:rsidRDefault="006E4E11" w:rsidP="007242A3">
            <w:pPr>
              <w:framePr w:w="5035" w:h="1644" w:wrap="notBeside" w:vAnchor="page" w:hAnchor="page" w:x="6573" w:y="721"/>
              <w:rPr>
                <w:sz w:val="20"/>
              </w:rPr>
            </w:pPr>
          </w:p>
        </w:tc>
      </w:tr>
      <w:tr w:rsidR="006E4E11" w:rsidRPr="00DF586A">
        <w:tc>
          <w:tcPr>
            <w:tcW w:w="2268" w:type="dxa"/>
          </w:tcPr>
          <w:p w:rsidR="006E4E11" w:rsidRPr="00DF586A" w:rsidRDefault="006E4E11" w:rsidP="007242A3">
            <w:pPr>
              <w:framePr w:w="5035" w:h="1644" w:wrap="notBeside" w:vAnchor="page" w:hAnchor="page" w:x="6573" w:y="721"/>
            </w:pPr>
          </w:p>
        </w:tc>
        <w:tc>
          <w:tcPr>
            <w:tcW w:w="2999" w:type="dxa"/>
            <w:gridSpan w:val="2"/>
          </w:tcPr>
          <w:p w:rsidR="006E4E11" w:rsidRPr="00DF586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586A">
        <w:trPr>
          <w:trHeight w:val="284"/>
        </w:trPr>
        <w:tc>
          <w:tcPr>
            <w:tcW w:w="4911" w:type="dxa"/>
          </w:tcPr>
          <w:p w:rsidR="006E4E11" w:rsidRPr="00DF586A" w:rsidRDefault="00DF586A">
            <w:pPr>
              <w:pStyle w:val="Avsndare"/>
              <w:framePr w:h="2483" w:wrap="notBeside" w:x="1504"/>
              <w:rPr>
                <w:b/>
                <w:i w:val="0"/>
                <w:sz w:val="22"/>
              </w:rPr>
            </w:pPr>
            <w:r>
              <w:rPr>
                <w:b/>
                <w:i w:val="0"/>
                <w:sz w:val="22"/>
              </w:rPr>
              <w:t>Miljö- och energidepartementet</w:t>
            </w:r>
          </w:p>
        </w:tc>
      </w:tr>
      <w:tr w:rsidR="006E4E11" w:rsidRPr="00DF586A">
        <w:trPr>
          <w:trHeight w:val="284"/>
        </w:trPr>
        <w:tc>
          <w:tcPr>
            <w:tcW w:w="4911" w:type="dxa"/>
          </w:tcPr>
          <w:p w:rsidR="006E4E11" w:rsidRPr="00DF586A" w:rsidRDefault="006E4E11">
            <w:pPr>
              <w:pStyle w:val="Avsndare"/>
              <w:framePr w:h="2483" w:wrap="notBeside" w:x="1504"/>
              <w:rPr>
                <w:bCs/>
                <w:iCs/>
              </w:rPr>
            </w:pPr>
          </w:p>
        </w:tc>
      </w:tr>
    </w:tbl>
    <w:p w:rsidR="006E4E11" w:rsidRPr="004E1562" w:rsidRDefault="004E1562">
      <w:pPr>
        <w:framePr w:w="4400" w:h="2523" w:wrap="notBeside" w:vAnchor="page" w:hAnchor="page" w:x="6453" w:y="2445"/>
        <w:ind w:left="142"/>
        <w:rPr>
          <w:b/>
          <w:color w:val="FF0000"/>
          <w:sz w:val="28"/>
          <w:szCs w:val="28"/>
        </w:rPr>
      </w:pPr>
      <w:r w:rsidRPr="004E1562">
        <w:rPr>
          <w:b/>
          <w:color w:val="FF0000"/>
          <w:sz w:val="28"/>
          <w:szCs w:val="28"/>
        </w:rPr>
        <w:t>REV.</w:t>
      </w:r>
      <w:r>
        <w:rPr>
          <w:b/>
          <w:color w:val="FF0000"/>
          <w:sz w:val="28"/>
          <w:szCs w:val="28"/>
        </w:rPr>
        <w:t xml:space="preserve"> VERSION</w:t>
      </w:r>
    </w:p>
    <w:p w:rsidR="006E4E11" w:rsidRDefault="00B755C8">
      <w:pPr>
        <w:pStyle w:val="RKrubrik"/>
        <w:spacing w:before="0" w:after="0"/>
      </w:pPr>
      <w:r>
        <w:t xml:space="preserve">REV: </w:t>
      </w:r>
      <w:r w:rsidR="00DF586A">
        <w:t>Kommenterad dagordning</w:t>
      </w:r>
      <w:r w:rsidR="00455491">
        <w:t xml:space="preserve"> inför Miljörådet den 6 mars </w:t>
      </w:r>
    </w:p>
    <w:p w:rsidR="00937A86" w:rsidRDefault="00937A86" w:rsidP="00937A86">
      <w:pPr>
        <w:pStyle w:val="RKrubrik"/>
        <w:numPr>
          <w:ilvl w:val="0"/>
          <w:numId w:val="7"/>
        </w:numPr>
      </w:pPr>
      <w:r>
        <w:t>Antagande av dagordningen</w:t>
      </w:r>
    </w:p>
    <w:p w:rsidR="00937A86" w:rsidRDefault="00937A86" w:rsidP="00937A86">
      <w:pPr>
        <w:pStyle w:val="RKrubrik"/>
      </w:pPr>
      <w:r>
        <w:t>Lagstiftningsärenden</w:t>
      </w:r>
    </w:p>
    <w:p w:rsidR="00207A1F" w:rsidRDefault="00207A1F" w:rsidP="00207A1F">
      <w:pPr>
        <w:pStyle w:val="RKrubrik"/>
        <w:numPr>
          <w:ilvl w:val="0"/>
          <w:numId w:val="7"/>
        </w:numPr>
      </w:pPr>
      <w:r>
        <w:t>(preliminärt) Antagande av A-punktslistan</w:t>
      </w:r>
    </w:p>
    <w:p w:rsidR="00207A1F" w:rsidRPr="00207A1F" w:rsidRDefault="00207A1F" w:rsidP="00207A1F">
      <w:pPr>
        <w:pStyle w:val="RKrubrik"/>
      </w:pPr>
      <w:r>
        <w:t>Icke-lagstiftningsärenden</w:t>
      </w:r>
    </w:p>
    <w:p w:rsidR="00207A1F" w:rsidRDefault="00207A1F" w:rsidP="00207A1F">
      <w:pPr>
        <w:pStyle w:val="RKrubrik"/>
        <w:numPr>
          <w:ilvl w:val="0"/>
          <w:numId w:val="7"/>
        </w:numPr>
      </w:pPr>
      <w:r>
        <w:t>(preliminärt) Antagande av A-punktslistan</w:t>
      </w:r>
    </w:p>
    <w:p w:rsidR="00DF586A" w:rsidRDefault="00DF586A" w:rsidP="00207A1F">
      <w:pPr>
        <w:pStyle w:val="RKrubrik"/>
        <w:numPr>
          <w:ilvl w:val="0"/>
          <w:numId w:val="7"/>
        </w:numPr>
      </w:pPr>
      <w:r>
        <w:t>Miljöanpassning av den europeiska terminen</w:t>
      </w:r>
    </w:p>
    <w:p w:rsidR="00DF586A" w:rsidRDefault="00DF586A" w:rsidP="00937A86">
      <w:pPr>
        <w:pStyle w:val="RKnormal"/>
        <w:numPr>
          <w:ilvl w:val="0"/>
          <w:numId w:val="6"/>
        </w:numPr>
        <w:rPr>
          <w:i/>
        </w:rPr>
      </w:pPr>
      <w:r w:rsidRPr="00937A86">
        <w:rPr>
          <w:i/>
        </w:rPr>
        <w:t>Diskussion</w:t>
      </w:r>
    </w:p>
    <w:p w:rsidR="00937A86" w:rsidRPr="00937A86" w:rsidRDefault="00937A86" w:rsidP="00937A86">
      <w:pPr>
        <w:pStyle w:val="RKnormal"/>
        <w:ind w:left="1065"/>
        <w:rPr>
          <w:i/>
        </w:rPr>
      </w:pPr>
    </w:p>
    <w:p w:rsidR="00DF586A" w:rsidRPr="00937A86" w:rsidRDefault="00DF586A" w:rsidP="00DF586A">
      <w:pPr>
        <w:pStyle w:val="RKnormal"/>
        <w:rPr>
          <w:b/>
          <w:i/>
        </w:rPr>
      </w:pPr>
      <w:r w:rsidRPr="00937A86">
        <w:rPr>
          <w:b/>
          <w:i/>
        </w:rPr>
        <w:t>Avsikten med behandlingen i rådet</w:t>
      </w:r>
    </w:p>
    <w:p w:rsidR="00DF586A" w:rsidRDefault="00DF586A" w:rsidP="00DF586A">
      <w:pPr>
        <w:pStyle w:val="RKnormal"/>
      </w:pPr>
      <w:r>
        <w:t xml:space="preserve">Ordförandeskapet har för avsikt att </w:t>
      </w:r>
      <w:r w:rsidR="00464CC2">
        <w:t>Miljö</w:t>
      </w:r>
      <w:r w:rsidR="00D15ED3">
        <w:t xml:space="preserve">rådet ska </w:t>
      </w:r>
      <w:r>
        <w:t>diskutera hur miljödimensionen i den europeiska planeringsterminen inklusive tillväxtöversikten kan stärkas. En diskussion om synergier mellan resurseffektivitet och det kommande meddelandet om den digitala inre marknaden ska också äga rum.</w:t>
      </w:r>
    </w:p>
    <w:p w:rsidR="00DF586A" w:rsidRDefault="00DF586A" w:rsidP="00DF586A">
      <w:pPr>
        <w:pStyle w:val="RKnormal"/>
      </w:pPr>
    </w:p>
    <w:p w:rsidR="00DF586A" w:rsidRPr="00937A86" w:rsidRDefault="00DF586A" w:rsidP="00DF586A">
      <w:pPr>
        <w:pStyle w:val="RKnormal"/>
        <w:rPr>
          <w:b/>
          <w:i/>
        </w:rPr>
      </w:pPr>
      <w:r w:rsidRPr="00937A86">
        <w:rPr>
          <w:b/>
          <w:i/>
        </w:rPr>
        <w:t>Bakgrund</w:t>
      </w:r>
    </w:p>
    <w:p w:rsidR="00DF586A" w:rsidRDefault="00DF586A" w:rsidP="00DF586A">
      <w:pPr>
        <w:pStyle w:val="RKnormal"/>
      </w:pPr>
      <w:r>
        <w:t>Den 28 november 2014 presenterade kommissionen sin årliga tillväxtöversikt för 2015, som inleder den europeiska terminen.</w:t>
      </w:r>
      <w:r w:rsidRPr="00FB39DD">
        <w:t xml:space="preserve"> </w:t>
      </w:r>
      <w:r>
        <w:t xml:space="preserve">Den ligger till grund för diskussioner i berörda rådskonstellationer under perioden december-mars. Stats- och regeringscheferna ska </w:t>
      </w:r>
      <w:r w:rsidR="00D15ED3">
        <w:t xml:space="preserve">vid Europeiska rådets möte </w:t>
      </w:r>
      <w:r>
        <w:t xml:space="preserve">den 19 – 20 mars lämna vägledning inför </w:t>
      </w:r>
      <w:r w:rsidR="00D15ED3">
        <w:t xml:space="preserve">medlemsstaterna </w:t>
      </w:r>
      <w:r>
        <w:t xml:space="preserve">rapportering inom </w:t>
      </w:r>
      <w:r w:rsidR="00D15ED3">
        <w:t>strategin för tillväxt och sysselsättning (EU 2020)</w:t>
      </w:r>
      <w:r>
        <w:t xml:space="preserve">, förfarandet för makroekonomiska obalanser och stabilitets- och tillväxtpakten. Det har tidigare aviserats att en halvtidsöversyn av strategin för tillväxt och sysselsättning (EU 2020) ska presenteras under våren. Den är </w:t>
      </w:r>
      <w:r w:rsidR="00003E5E">
        <w:t xml:space="preserve"> dock </w:t>
      </w:r>
      <w:r>
        <w:t>försenad. Kommissionen har dragit tillbaka ett paket om cirkulär ekonomi inklusive</w:t>
      </w:r>
      <w:r w:rsidR="00003E5E">
        <w:t xml:space="preserve"> förslag till revidering av flera</w:t>
      </w:r>
      <w:r>
        <w:t xml:space="preserve"> avfall</w:t>
      </w:r>
      <w:r w:rsidR="00003E5E">
        <w:t>sdirektiv</w:t>
      </w:r>
      <w:r>
        <w:t xml:space="preserve"> och förutskickat att ett nytt </w:t>
      </w:r>
      <w:r w:rsidR="00003E5E">
        <w:t>paket</w:t>
      </w:r>
      <w:r>
        <w:t xml:space="preserve"> ska </w:t>
      </w:r>
      <w:r>
        <w:lastRenderedPageBreak/>
        <w:t>presenteras senare under året. Ett meddelande om den digitala inre marknaden har aviserats till den 6 maj 2015.</w:t>
      </w:r>
    </w:p>
    <w:p w:rsidR="00DF586A" w:rsidRDefault="00DF586A" w:rsidP="00DF586A">
      <w:pPr>
        <w:pStyle w:val="RKnormal"/>
      </w:pPr>
    </w:p>
    <w:p w:rsidR="00DF586A" w:rsidRDefault="00DF586A" w:rsidP="00DF586A">
      <w:pPr>
        <w:pStyle w:val="RKnormal"/>
      </w:pPr>
      <w:r>
        <w:t>Ordförandeskapet har presenterat</w:t>
      </w:r>
      <w:r w:rsidR="00464CC2">
        <w:t xml:space="preserve"> följande</w:t>
      </w:r>
      <w:r>
        <w:t xml:space="preserve"> två frågeställningar för diskussion på miljörådet</w:t>
      </w:r>
      <w:r w:rsidR="00464CC2">
        <w:t xml:space="preserve"> med inriktning på hur man kan </w:t>
      </w:r>
      <w:r>
        <w:t>stärka miljödimensionen i processen.</w:t>
      </w:r>
      <w:r w:rsidR="00464CC2">
        <w:t xml:space="preserve"> </w:t>
      </w:r>
      <w:r>
        <w:t xml:space="preserve">Frågeställningarna </w:t>
      </w:r>
      <w:r w:rsidR="00A807A7">
        <w:t>har endast distribuerats på engelska</w:t>
      </w:r>
      <w:r>
        <w:t>:</w:t>
      </w:r>
    </w:p>
    <w:p w:rsidR="00DF586A" w:rsidRDefault="00DF586A" w:rsidP="00DF586A">
      <w:pPr>
        <w:pStyle w:val="RKnormal"/>
      </w:pPr>
      <w:r>
        <w:t>1.In the light of the October 2014 Council conclusions on ”Greening the Semester and the Europe 2020 Strategy” is the AGS 2015 setting the right framework to ensure that future growth and competitiveness will be sustainable and resource efficient along the principles of the circular economy?</w:t>
      </w:r>
    </w:p>
    <w:p w:rsidR="00DF586A" w:rsidRDefault="00DF586A" w:rsidP="00DF586A">
      <w:pPr>
        <w:pStyle w:val="RKnormal"/>
      </w:pPr>
    </w:p>
    <w:p w:rsidR="00DF586A" w:rsidRDefault="00DF586A" w:rsidP="00DF586A">
      <w:pPr>
        <w:pStyle w:val="RKnormal"/>
      </w:pPr>
      <w:r>
        <w:t>How can we tap the full potential of synergies between environmental policy and other policy fields, in particular economic and social policy, to move towards the resource efficient, circular and low carbon economy?</w:t>
      </w:r>
    </w:p>
    <w:p w:rsidR="00DF586A" w:rsidRDefault="00DF586A" w:rsidP="00DF586A">
      <w:pPr>
        <w:pStyle w:val="RKnormal"/>
      </w:pPr>
    </w:p>
    <w:p w:rsidR="00DF586A" w:rsidRDefault="00DF586A" w:rsidP="00DF586A">
      <w:pPr>
        <w:pStyle w:val="RKnormal"/>
      </w:pPr>
      <w:r>
        <w:t>2. The forthcoming Digital Single Market Strategy will continue the implementation of the Flagship Initiative ”Digital Agenda for Durope (DAC)”. Further synergies could be developed for green growth and green jobes between DAE and the resource efficiency agenda under the Europe 2020 Strategy and the 7th EAP. Where could synergies be developed to promote green jobs, greater resource efficiency and the objectives of the circular economy.</w:t>
      </w:r>
    </w:p>
    <w:p w:rsidR="00DF586A" w:rsidRDefault="00DF586A" w:rsidP="00DF586A">
      <w:pPr>
        <w:pStyle w:val="RKnormal"/>
      </w:pPr>
    </w:p>
    <w:p w:rsidR="00DF586A" w:rsidRPr="00937A86" w:rsidRDefault="00DF586A" w:rsidP="00DF586A">
      <w:pPr>
        <w:pStyle w:val="RKnormal"/>
        <w:rPr>
          <w:b/>
          <w:i/>
        </w:rPr>
      </w:pPr>
      <w:r w:rsidRPr="00937A86">
        <w:rPr>
          <w:b/>
          <w:i/>
        </w:rPr>
        <w:t>Förslag till svensk ståndpunkt</w:t>
      </w:r>
    </w:p>
    <w:p w:rsidR="001074E0" w:rsidRDefault="001074E0" w:rsidP="001074E0">
      <w:pPr>
        <w:pStyle w:val="RKnormal"/>
      </w:pPr>
      <w:r>
        <w:t>Regeringen föreslår att Sverige välkomnar tillväxtöversikten.</w:t>
      </w:r>
    </w:p>
    <w:p w:rsidR="001074E0" w:rsidRDefault="001074E0" w:rsidP="001074E0">
      <w:pPr>
        <w:pStyle w:val="RKnormal"/>
      </w:pPr>
    </w:p>
    <w:p w:rsidR="001074E0" w:rsidRDefault="001074E0" w:rsidP="001074E0">
      <w:pPr>
        <w:spacing w:line="240" w:lineRule="auto"/>
        <w:rPr>
          <w:szCs w:val="24"/>
        </w:rPr>
      </w:pPr>
      <w:r>
        <w:t>Regeringen föreslår att Sverige stödjer ett ökat fokus på ett förbättrat investeringsklimat och behovet av ökade investeringar. Investeringsplanen kan under de kommande tre åren bli ett viktigt komplement till de åtgärder som görs på nationell nivå, inklusive strukturreformer för att stärka konkurrenskraften, tillväxten och bidra till en hållbar utveckling</w:t>
      </w:r>
      <w:r w:rsidRPr="00455AB5">
        <w:t xml:space="preserve">.  </w:t>
      </w:r>
      <w:r w:rsidRPr="00455AB5">
        <w:rPr>
          <w:szCs w:val="24"/>
        </w:rPr>
        <w:t>Det är viktigt med hållbara investeringar på energi-, miljö- och klimatområdet med fokus på innovativa teknologier. Regeringen anser att investeringsplanen ska bidra till omställningen till en grön resurseffektiv ekonomi.</w:t>
      </w:r>
    </w:p>
    <w:p w:rsidR="001074E0" w:rsidRDefault="001074E0" w:rsidP="001074E0">
      <w:pPr>
        <w:spacing w:line="240" w:lineRule="auto"/>
      </w:pPr>
      <w:r>
        <w:rPr>
          <w:szCs w:val="24"/>
        </w:rPr>
        <w:t xml:space="preserve"> </w:t>
      </w:r>
    </w:p>
    <w:p w:rsidR="001074E0" w:rsidRDefault="001074E0" w:rsidP="001074E0">
      <w:pPr>
        <w:pStyle w:val="RKnormal"/>
        <w:rPr>
          <w:szCs w:val="24"/>
        </w:rPr>
      </w:pPr>
      <w:r>
        <w:t xml:space="preserve">Vad gäller kopplingen mellan resurseffektivitet och den digitala inre marknaden föreslår regeringen att Sverige framför att inre marknadsregelverket måste gå i takt med den digitala utvecklingen för att bidra till innovation, resurseffektiva och smarta lösningar/information, entreprenörskap och framväxten av nya affärsmodeller som är nödvändiga för att driva på/främja en hållbar utveckling. För att driva på utvecklingen av ny miljöteknik behövs även ett ökat fokus på spetsteknologier och hur dessa kan bidra till miljöfrämjande/hållbara lösningar </w:t>
      </w:r>
    </w:p>
    <w:p w:rsidR="001074E0" w:rsidRDefault="001074E0" w:rsidP="001074E0">
      <w:pPr>
        <w:pStyle w:val="RKnormal"/>
        <w:tabs>
          <w:tab w:val="clear" w:pos="2835"/>
          <w:tab w:val="left" w:pos="6075"/>
        </w:tabs>
      </w:pPr>
      <w:r>
        <w:tab/>
      </w:r>
    </w:p>
    <w:p w:rsidR="001074E0" w:rsidRDefault="001074E0" w:rsidP="001074E0">
      <w:pPr>
        <w:pStyle w:val="RKnormal"/>
        <w:rPr>
          <w:szCs w:val="24"/>
        </w:rPr>
      </w:pPr>
      <w:r>
        <w:rPr>
          <w:szCs w:val="24"/>
        </w:rPr>
        <w:lastRenderedPageBreak/>
        <w:t xml:space="preserve">Regeringen föreslår att Sverige framför att man avser att i den fortsatta processen om ett nytt paket om cirkulär ekonomi driva en hög ambitionsnivå och att förslagen ska vara baserade på ett livscykelperspektiv. </w:t>
      </w:r>
    </w:p>
    <w:p w:rsidR="00B755C8" w:rsidRDefault="00B755C8" w:rsidP="001074E0">
      <w:pPr>
        <w:pStyle w:val="RKnormal"/>
        <w:rPr>
          <w:szCs w:val="24"/>
        </w:rPr>
      </w:pPr>
    </w:p>
    <w:p w:rsidR="00B755C8" w:rsidRDefault="00B755C8" w:rsidP="00B755C8">
      <w:pPr>
        <w:pStyle w:val="RKnormal"/>
        <w:rPr>
          <w:rFonts w:ascii="TradeGothic Bold" w:hAnsi="TradeGothic Bold"/>
        </w:rPr>
      </w:pPr>
      <w:r>
        <w:rPr>
          <w:rFonts w:ascii="TradeGothic Bold" w:hAnsi="TradeGothic Bold"/>
        </w:rPr>
        <w:t>5. Den globala post 2015-agendan: genomgång av de mellanstatliga förhandlingarna och framåtblickande</w:t>
      </w:r>
    </w:p>
    <w:p w:rsidR="00B755C8" w:rsidRDefault="00B755C8" w:rsidP="00B755C8">
      <w:pPr>
        <w:jc w:val="center"/>
      </w:pPr>
    </w:p>
    <w:p w:rsidR="00B755C8" w:rsidRDefault="00B755C8" w:rsidP="00B755C8">
      <w:pPr>
        <w:spacing w:line="240" w:lineRule="auto"/>
        <w:ind w:left="1440" w:hanging="720"/>
        <w:rPr>
          <w:i/>
        </w:rPr>
      </w:pPr>
      <w:r>
        <w:t xml:space="preserve">- </w:t>
      </w:r>
      <w:r w:rsidRPr="00AD65F7">
        <w:rPr>
          <w:i/>
        </w:rPr>
        <w:t>Åsiktsutbyte</w:t>
      </w:r>
    </w:p>
    <w:p w:rsidR="00B755C8" w:rsidRPr="00937A86" w:rsidRDefault="00B755C8" w:rsidP="00B755C8">
      <w:pPr>
        <w:pStyle w:val="Rubrik3"/>
        <w:rPr>
          <w:rFonts w:ascii="OrigGarmnd BT" w:hAnsi="OrigGarmnd BT"/>
          <w:b/>
          <w:i/>
          <w:sz w:val="24"/>
          <w:szCs w:val="24"/>
        </w:rPr>
      </w:pPr>
      <w:r w:rsidRPr="00937A86">
        <w:rPr>
          <w:rFonts w:ascii="OrigGarmnd BT" w:hAnsi="OrigGarmnd BT"/>
          <w:b/>
          <w:i/>
          <w:sz w:val="24"/>
          <w:szCs w:val="24"/>
        </w:rPr>
        <w:t>Bakgrund</w:t>
      </w:r>
    </w:p>
    <w:p w:rsidR="00B755C8" w:rsidRDefault="00B755C8" w:rsidP="00B755C8">
      <w:r w:rsidRPr="00AD65F7">
        <w:t>De första mellanstatliga förhandlingarna om post-2015 agendan</w:t>
      </w:r>
      <w:r>
        <w:t xml:space="preserve"> och </w:t>
      </w:r>
      <w:r w:rsidRPr="00AD65F7">
        <w:t>hållbara utvecklingsmål hölls i New York 19-21 januari</w:t>
      </w:r>
      <w:r>
        <w:t xml:space="preserve"> 2015</w:t>
      </w:r>
      <w:r w:rsidRPr="00AD65F7">
        <w:t xml:space="preserve">. Mötet var en </w:t>
      </w:r>
      <w:r>
        <w:t>så kallad</w:t>
      </w:r>
      <w:r w:rsidRPr="00AD65F7">
        <w:t xml:space="preserve"> ”</w:t>
      </w:r>
      <w:r w:rsidRPr="00AD65F7">
        <w:rPr>
          <w:i/>
        </w:rPr>
        <w:t>stock taking session</w:t>
      </w:r>
      <w:r w:rsidRPr="00AD65F7">
        <w:t xml:space="preserve">” vars huvudsyfte var att sammanföra och reflektera över det arbete som hade genomförts under de senaste två och ett halvt åren. </w:t>
      </w:r>
    </w:p>
    <w:p w:rsidR="00B755C8" w:rsidRPr="00AD65F7" w:rsidRDefault="00B755C8" w:rsidP="00B755C8"/>
    <w:p w:rsidR="00B755C8" w:rsidRDefault="00B755C8" w:rsidP="00B755C8">
      <w:r w:rsidRPr="00AD65F7">
        <w:t xml:space="preserve">Vid förhandlingarna </w:t>
      </w:r>
      <w:r>
        <w:t xml:space="preserve">framförde flertalet länder en önskan </w:t>
      </w:r>
      <w:r w:rsidRPr="00AD65F7">
        <w:t xml:space="preserve">om att inte öppna upp de 17 </w:t>
      </w:r>
      <w:r>
        <w:t>nu föreslagna hållbara utvecklings</w:t>
      </w:r>
      <w:r w:rsidRPr="00AD65F7">
        <w:t xml:space="preserve">målen för förhandling. </w:t>
      </w:r>
      <w:r>
        <w:t>Med-ordföranden (från Irland och Kenya, som är utsedda att underlätta processen) har beslutat genomföra en så kallad</w:t>
      </w:r>
      <w:r w:rsidRPr="00AD65F7">
        <w:t xml:space="preserve"> </w:t>
      </w:r>
      <w:r w:rsidRPr="002D3739">
        <w:t>teknisk översyn</w:t>
      </w:r>
      <w:r w:rsidRPr="00AD65F7">
        <w:t xml:space="preserve"> av de 169 delmålen. Mötet var det första av sju mellanstatliga förhandlingsmöten som ska hållas innan post 2015-agendan ska antas vid </w:t>
      </w:r>
      <w:r>
        <w:t>UNGA Post 2015 Summit</w:t>
      </w:r>
      <w:r w:rsidRPr="00AD65F7">
        <w:t xml:space="preserve"> </w:t>
      </w:r>
      <w:r>
        <w:t>25-27</w:t>
      </w:r>
      <w:r w:rsidRPr="00AD65F7">
        <w:t xml:space="preserve"> september. </w:t>
      </w:r>
      <w:r>
        <w:t xml:space="preserve">Det andra mellanstatliga förhandlingsmötet ägde rum i New York den 17-20 februari, då post 2015-agendans politiska deklaration diskuterades. </w:t>
      </w:r>
    </w:p>
    <w:p w:rsidR="00434EB8" w:rsidRDefault="00434EB8" w:rsidP="00B755C8"/>
    <w:p w:rsidR="00B755C8" w:rsidRDefault="00B755C8" w:rsidP="00B755C8">
      <w:pPr>
        <w:rPr>
          <w:szCs w:val="24"/>
        </w:rPr>
      </w:pPr>
      <w:r>
        <w:t xml:space="preserve">Inom EU antogs rådsslutsatser på allmänna rådet i december 2014 ,som </w:t>
      </w:r>
      <w:r w:rsidRPr="005A198B">
        <w:t xml:space="preserve">utgör EU:s gemensamma politiska prioriteringar i de mellanstatliga förhandlingarna </w:t>
      </w:r>
      <w:r w:rsidRPr="005A198B">
        <w:rPr>
          <w:szCs w:val="24"/>
        </w:rPr>
        <w:t>och ger en tydlig politisk signal om hur EU ser på post-2015 arbetet.</w:t>
      </w:r>
    </w:p>
    <w:p w:rsidR="00B755C8" w:rsidRDefault="00B755C8" w:rsidP="00B755C8">
      <w:pPr>
        <w:rPr>
          <w:szCs w:val="24"/>
        </w:rPr>
      </w:pPr>
    </w:p>
    <w:p w:rsidR="00B755C8" w:rsidRDefault="00B755C8" w:rsidP="00B755C8">
      <w:r>
        <w:t>Ordförandeskapet har tagit fram ett diskussionsunderlag med frågor inför behandlingen av miljöministrarna. Diskussionsfrågorna handlar om hur de miljömässiga delarna av hållbarhetsagendan ska bevaras under förhandlingarna. Underlaget har endast distribuerats på engelska:</w:t>
      </w:r>
    </w:p>
    <w:p w:rsidR="00B755C8" w:rsidRDefault="00B755C8" w:rsidP="00B755C8"/>
    <w:p w:rsidR="00B755C8" w:rsidRPr="000D43EA" w:rsidRDefault="00B755C8" w:rsidP="00B755C8">
      <w:pPr>
        <w:rPr>
          <w:rFonts w:eastAsiaTheme="minorHAnsi" w:cstheme="minorBidi"/>
          <w:szCs w:val="22"/>
        </w:rPr>
      </w:pPr>
    </w:p>
    <w:p w:rsidR="00B755C8" w:rsidRPr="000D43EA" w:rsidRDefault="00B755C8" w:rsidP="00B755C8">
      <w:pPr>
        <w:ind w:left="567" w:hanging="567"/>
        <w:rPr>
          <w:rFonts w:eastAsiaTheme="minorHAnsi" w:cstheme="minorBidi"/>
          <w:i/>
          <w:iCs/>
          <w:szCs w:val="22"/>
        </w:rPr>
      </w:pPr>
      <w:r w:rsidRPr="000D43EA">
        <w:rPr>
          <w:rFonts w:eastAsiaTheme="minorHAnsi" w:cstheme="minorBidi"/>
          <w:i/>
          <w:iCs/>
          <w:szCs w:val="22"/>
        </w:rPr>
        <w:t>1)</w:t>
      </w:r>
      <w:r w:rsidRPr="000D43EA">
        <w:rPr>
          <w:rFonts w:eastAsiaTheme="minorHAnsi" w:cstheme="minorBidi"/>
          <w:i/>
          <w:iCs/>
          <w:szCs w:val="22"/>
        </w:rPr>
        <w:tab/>
      </w:r>
      <w:r>
        <w:rPr>
          <w:rFonts w:eastAsiaTheme="minorHAnsi" w:cstheme="minorBidi"/>
          <w:i/>
          <w:iCs/>
          <w:szCs w:val="22"/>
        </w:rPr>
        <w:t>H</w:t>
      </w:r>
      <w:r w:rsidRPr="000D43EA">
        <w:rPr>
          <w:rFonts w:eastAsiaTheme="minorHAnsi" w:cstheme="minorBidi"/>
          <w:i/>
          <w:iCs/>
          <w:szCs w:val="22"/>
        </w:rPr>
        <w:t xml:space="preserve">ow should we play our cards from a strategic point of view in order to ensure that we don't lose the good environmental elements of the OWG proposal and that the final </w:t>
      </w:r>
      <w:r>
        <w:rPr>
          <w:rFonts w:eastAsiaTheme="minorHAnsi" w:cstheme="minorBidi"/>
          <w:i/>
          <w:iCs/>
          <w:szCs w:val="22"/>
        </w:rPr>
        <w:t>Post-2015 Agenda</w:t>
      </w:r>
      <w:r w:rsidRPr="000D43EA">
        <w:rPr>
          <w:rFonts w:eastAsiaTheme="minorHAnsi" w:cstheme="minorBidi"/>
          <w:i/>
          <w:iCs/>
          <w:szCs w:val="22"/>
        </w:rPr>
        <w:t xml:space="preserve"> outcome remains balanced</w:t>
      </w:r>
      <w:r>
        <w:rPr>
          <w:rFonts w:eastAsiaTheme="minorHAnsi" w:cstheme="minorBidi"/>
          <w:i/>
          <w:iCs/>
          <w:szCs w:val="22"/>
        </w:rPr>
        <w:t>,</w:t>
      </w:r>
      <w:r w:rsidRPr="000D43EA">
        <w:rPr>
          <w:rFonts w:eastAsiaTheme="minorHAnsi" w:cstheme="minorBidi"/>
          <w:i/>
          <w:iCs/>
          <w:szCs w:val="22"/>
        </w:rPr>
        <w:t xml:space="preserve"> and what can the high level Environment actors (such as the EU Environment Ministers and UNEP) do in the run-up to the September Post-2015 Summit in order to contribute and facilitate this process?</w:t>
      </w:r>
    </w:p>
    <w:p w:rsidR="00B755C8" w:rsidRPr="000D43EA" w:rsidRDefault="00B755C8" w:rsidP="00B755C8">
      <w:pPr>
        <w:rPr>
          <w:rFonts w:eastAsiaTheme="minorHAnsi" w:cstheme="minorBidi"/>
          <w:i/>
          <w:iCs/>
          <w:szCs w:val="22"/>
        </w:rPr>
      </w:pPr>
    </w:p>
    <w:p w:rsidR="00B755C8" w:rsidRPr="00C10CA2" w:rsidRDefault="00B755C8" w:rsidP="00C10CA2">
      <w:pPr>
        <w:ind w:left="567" w:hanging="567"/>
        <w:rPr>
          <w:rFonts w:eastAsiaTheme="minorHAnsi" w:cstheme="minorBidi"/>
          <w:i/>
          <w:iCs/>
          <w:szCs w:val="22"/>
        </w:rPr>
      </w:pPr>
      <w:r w:rsidRPr="000D43EA">
        <w:rPr>
          <w:rFonts w:eastAsiaTheme="minorHAnsi" w:cstheme="minorBidi"/>
          <w:i/>
          <w:iCs/>
          <w:szCs w:val="22"/>
        </w:rPr>
        <w:t>2)</w:t>
      </w:r>
      <w:r w:rsidRPr="000D43EA">
        <w:rPr>
          <w:rFonts w:eastAsiaTheme="minorHAnsi" w:cstheme="minorBidi"/>
          <w:i/>
          <w:iCs/>
          <w:szCs w:val="22"/>
        </w:rPr>
        <w:tab/>
      </w:r>
      <w:r>
        <w:rPr>
          <w:rFonts w:eastAsiaTheme="minorHAnsi" w:cstheme="minorBidi"/>
          <w:i/>
          <w:iCs/>
          <w:szCs w:val="22"/>
        </w:rPr>
        <w:t>B</w:t>
      </w:r>
      <w:r w:rsidRPr="000D43EA">
        <w:rPr>
          <w:rFonts w:eastAsiaTheme="minorHAnsi" w:cstheme="minorBidi"/>
          <w:i/>
          <w:iCs/>
          <w:szCs w:val="22"/>
        </w:rPr>
        <w:t xml:space="preserve">earing in mind the contribution of environmental goals and targets to the whole sustainable development agenda, how can we ensure that they receive adequate financing for their implementation? </w:t>
      </w:r>
    </w:p>
    <w:p w:rsidR="00B755C8" w:rsidRPr="003A2FAD" w:rsidRDefault="00B755C8" w:rsidP="00B755C8">
      <w:pPr>
        <w:pStyle w:val="Rubrik3"/>
        <w:rPr>
          <w:rFonts w:ascii="OrigGarmnd BT" w:hAnsi="OrigGarmnd BT"/>
          <w:b/>
          <w:i/>
          <w:sz w:val="24"/>
          <w:szCs w:val="24"/>
        </w:rPr>
      </w:pPr>
      <w:r w:rsidRPr="003A2FAD">
        <w:rPr>
          <w:rFonts w:ascii="OrigGarmnd BT" w:hAnsi="OrigGarmnd BT"/>
          <w:b/>
          <w:i/>
          <w:sz w:val="24"/>
          <w:szCs w:val="24"/>
        </w:rPr>
        <w:t>Förslag till svensk ståndpunkt</w:t>
      </w:r>
      <w:r>
        <w:rPr>
          <w:rFonts w:ascii="OrigGarmnd BT" w:hAnsi="OrigGarmnd BT"/>
          <w:b/>
          <w:i/>
          <w:sz w:val="24"/>
          <w:szCs w:val="24"/>
        </w:rPr>
        <w:t>:</w:t>
      </w:r>
    </w:p>
    <w:p w:rsidR="00B755C8" w:rsidRPr="00DF586A" w:rsidRDefault="00B755C8" w:rsidP="00B755C8">
      <w:pPr>
        <w:rPr>
          <w:color w:val="000000"/>
        </w:rPr>
      </w:pPr>
    </w:p>
    <w:p w:rsidR="00B755C8" w:rsidRDefault="00B755C8" w:rsidP="00B755C8">
      <w:pPr>
        <w:rPr>
          <w:color w:val="000000"/>
        </w:rPr>
      </w:pPr>
      <w:r>
        <w:rPr>
          <w:color w:val="000000"/>
        </w:rPr>
        <w:t>Regeringen kommer i</w:t>
      </w:r>
      <w:r w:rsidRPr="00DF586A">
        <w:rPr>
          <w:color w:val="000000"/>
        </w:rPr>
        <w:t xml:space="preserve"> de fortsatta förhandlingarna </w:t>
      </w:r>
      <w:r>
        <w:rPr>
          <w:color w:val="000000"/>
        </w:rPr>
        <w:t>att</w:t>
      </w:r>
      <w:r w:rsidRPr="00DF586A">
        <w:rPr>
          <w:color w:val="000000"/>
        </w:rPr>
        <w:t xml:space="preserve"> framhålla vikten av att</w:t>
      </w:r>
      <w:r>
        <w:rPr>
          <w:color w:val="000000"/>
        </w:rPr>
        <w:t xml:space="preserve"> Post 2015-</w:t>
      </w:r>
      <w:r w:rsidRPr="00DF586A">
        <w:rPr>
          <w:color w:val="000000"/>
        </w:rPr>
        <w:t xml:space="preserve"> agendan präglas av en hög ambitionsnivå och en tydlig vision vad gäller strävan att utrota den globala fattigdomen och främja en hållbar utveckling mot en framtid som håller sig inom de planetära gränserna. </w:t>
      </w:r>
    </w:p>
    <w:p w:rsidR="00434EB8" w:rsidRDefault="00434EB8" w:rsidP="00B755C8">
      <w:pPr>
        <w:rPr>
          <w:color w:val="000000" w:themeColor="text1"/>
        </w:rPr>
      </w:pPr>
    </w:p>
    <w:p w:rsidR="00B755C8" w:rsidRDefault="00B755C8" w:rsidP="00B755C8">
      <w:pPr>
        <w:rPr>
          <w:color w:val="000000" w:themeColor="text1"/>
        </w:rPr>
      </w:pPr>
      <w:r>
        <w:rPr>
          <w:color w:val="000000" w:themeColor="text1"/>
        </w:rPr>
        <w:t>Regeringen kommer betona behovet av att EU fortsatt betraktar arbetet mot klimatförändringar och miljöpåverkan som centrala delar av hållbarhetsagendan och förutsättningar för att åstadkomma hållbar utveckling i de tre dimensionerna. Regeringen betraktar civilsamhällesorganisationer, universitet och forskningsinstitut samt näringsliv och svenska myndigheter som viktiga aktörer att samarbeta kring hållbarhetsfrågorna med, i synnerhet för att sprida kunskap om kopplingen mellan ekonomisk, miljömässig och social utveckling.</w:t>
      </w:r>
    </w:p>
    <w:p w:rsidR="00434EB8" w:rsidRDefault="00434EB8" w:rsidP="00B755C8">
      <w:pPr>
        <w:rPr>
          <w:color w:val="000000" w:themeColor="text1"/>
        </w:rPr>
      </w:pPr>
    </w:p>
    <w:p w:rsidR="00B755C8" w:rsidRPr="00461D3C" w:rsidRDefault="00B755C8" w:rsidP="00461D3C">
      <w:pPr>
        <w:rPr>
          <w:color w:val="000000" w:themeColor="text1"/>
        </w:rPr>
      </w:pPr>
      <w:r w:rsidRPr="009A1D25">
        <w:rPr>
          <w:color w:val="000000" w:themeColor="text1"/>
        </w:rPr>
        <w:t>Genomförande av en ambitiös post 2015-agenda kommer att kräva en kraftig mobilisering av finansiella och icke-finansiella insatser på nationell, regional och global nivå. Ökad inhemsk resursmobilisering, internationella samarbeten på en rad områden och trovärdiga åtaganden om bistånd är viktiga delar. Det handlar inte bara om ökade resurser utan också hur dessa, både offentliga och privata, på bästa sätt kan kanaliseras för att främja utveckling. Att få alla politikområden att samverka för utveckling</w:t>
      </w:r>
      <w:r w:rsidR="00791E0A">
        <w:rPr>
          <w:color w:val="000000" w:themeColor="text1"/>
        </w:rPr>
        <w:t xml:space="preserve"> </w:t>
      </w:r>
      <w:r w:rsidRPr="009A1D25">
        <w:rPr>
          <w:color w:val="000000" w:themeColor="text1"/>
        </w:rPr>
        <w:t>är därför en nyckelkomponent i genomförande</w:t>
      </w:r>
      <w:r w:rsidR="00461D3C">
        <w:rPr>
          <w:color w:val="000000" w:themeColor="text1"/>
        </w:rPr>
        <w:t>t av den nya utvecklingsagendan-</w:t>
      </w:r>
    </w:p>
    <w:p w:rsidR="004B0620" w:rsidRDefault="00C10CA2" w:rsidP="004B0620">
      <w:pPr>
        <w:pStyle w:val="RKrubrik"/>
      </w:pPr>
      <w:r>
        <w:t>6</w:t>
      </w:r>
      <w:r w:rsidR="004B0620">
        <w:t>.</w:t>
      </w:r>
      <w:r w:rsidR="00DF586A" w:rsidRPr="00FA3CD2">
        <w:t xml:space="preserve"> </w:t>
      </w:r>
      <w:r w:rsidR="004B0620">
        <w:t>Vägen till Paris</w:t>
      </w:r>
    </w:p>
    <w:p w:rsidR="004B0620" w:rsidRPr="00937A86" w:rsidRDefault="00CF7715" w:rsidP="00937A86">
      <w:pPr>
        <w:pStyle w:val="Liststycke"/>
        <w:numPr>
          <w:ilvl w:val="0"/>
          <w:numId w:val="6"/>
        </w:numPr>
        <w:rPr>
          <w:i/>
          <w:iCs/>
          <w:color w:val="000000"/>
        </w:rPr>
      </w:pPr>
      <w:r w:rsidRPr="00937A86">
        <w:rPr>
          <w:i/>
          <w:iCs/>
          <w:color w:val="000000"/>
        </w:rPr>
        <w:t>Diskussion</w:t>
      </w:r>
    </w:p>
    <w:p w:rsidR="004B0620" w:rsidRPr="00937A86" w:rsidRDefault="004B0620" w:rsidP="00937A86">
      <w:pPr>
        <w:pStyle w:val="Liststycke"/>
        <w:numPr>
          <w:ilvl w:val="0"/>
          <w:numId w:val="6"/>
        </w:numPr>
        <w:rPr>
          <w:i/>
          <w:iCs/>
          <w:color w:val="000000"/>
        </w:rPr>
      </w:pPr>
      <w:r w:rsidRPr="00937A86">
        <w:rPr>
          <w:i/>
          <w:iCs/>
          <w:color w:val="000000"/>
        </w:rPr>
        <w:t xml:space="preserve">Antagande av </w:t>
      </w:r>
      <w:r w:rsidR="002A6497" w:rsidRPr="00937A86">
        <w:rPr>
          <w:i/>
          <w:iCs/>
          <w:color w:val="000000"/>
        </w:rPr>
        <w:t>EUs nationellt beslutade bidrag (</w:t>
      </w:r>
      <w:r w:rsidRPr="00937A86">
        <w:rPr>
          <w:i/>
          <w:iCs/>
          <w:color w:val="000000"/>
        </w:rPr>
        <w:t>INDC</w:t>
      </w:r>
      <w:r w:rsidR="002A6497" w:rsidRPr="00937A86">
        <w:rPr>
          <w:i/>
          <w:iCs/>
          <w:color w:val="000000"/>
        </w:rPr>
        <w:t>)</w:t>
      </w:r>
    </w:p>
    <w:p w:rsidR="00DF586A" w:rsidRDefault="00DF586A" w:rsidP="00DF586A">
      <w:pPr>
        <w:rPr>
          <w:i/>
          <w:iCs/>
          <w:color w:val="000000"/>
        </w:rPr>
      </w:pPr>
    </w:p>
    <w:p w:rsidR="00DF586A" w:rsidRPr="009F4DF6" w:rsidRDefault="00DF586A" w:rsidP="00DF586A">
      <w:pPr>
        <w:rPr>
          <w:b/>
          <w:i/>
          <w:iCs/>
          <w:color w:val="000000"/>
        </w:rPr>
      </w:pPr>
      <w:r w:rsidRPr="009F4DF6">
        <w:rPr>
          <w:b/>
          <w:i/>
          <w:iCs/>
          <w:color w:val="000000"/>
        </w:rPr>
        <w:t>Avsikten med behandlingen i rådet</w:t>
      </w:r>
    </w:p>
    <w:p w:rsidR="00DF586A" w:rsidRPr="00BC7552" w:rsidRDefault="00DF586A" w:rsidP="00DF586A">
      <w:r>
        <w:t>Ordförandeskapet har för avsikt att Miljörådet ska diskutera EU</w:t>
      </w:r>
      <w:r w:rsidR="00165D97">
        <w:t>:</w:t>
      </w:r>
      <w:r>
        <w:t xml:space="preserve">s förhållningssätt inför det tjugoförsta partsmötet till FNs ramkonvention för klimatförändringar (COP21) som kommer att äga rum i Paris 30 november till 11 december 2015. Miljörådet väntas också anta beslut om EUs tänkta nationellt beslutade bidrag (intended nationally determined contribution, INDC) till ett nytt klimatavtal i Paris. </w:t>
      </w:r>
    </w:p>
    <w:p w:rsidR="00DF586A" w:rsidRDefault="00DF586A" w:rsidP="00DF586A">
      <w:pPr>
        <w:pStyle w:val="RKnormal"/>
        <w:rPr>
          <w:i/>
          <w:iCs/>
          <w:color w:val="000000"/>
        </w:rPr>
      </w:pPr>
    </w:p>
    <w:p w:rsidR="00DF586A" w:rsidRPr="009F4DF6" w:rsidRDefault="00DF586A" w:rsidP="003A2FAD">
      <w:pPr>
        <w:pStyle w:val="RKnormal"/>
        <w:rPr>
          <w:b/>
          <w:i/>
          <w:iCs/>
          <w:color w:val="000000"/>
        </w:rPr>
      </w:pPr>
      <w:r w:rsidRPr="009F4DF6">
        <w:rPr>
          <w:b/>
          <w:i/>
          <w:iCs/>
          <w:color w:val="000000"/>
        </w:rPr>
        <w:lastRenderedPageBreak/>
        <w:t xml:space="preserve">Bakgrund </w:t>
      </w:r>
    </w:p>
    <w:p w:rsidR="00DF586A" w:rsidRDefault="00165D97" w:rsidP="00DF586A">
      <w:r>
        <w:t>Kommissionen presenterade</w:t>
      </w:r>
      <w:r w:rsidR="00DF586A">
        <w:t xml:space="preserve"> </w:t>
      </w:r>
      <w:r w:rsidR="00D15ED3">
        <w:t xml:space="preserve">den 25 februari </w:t>
      </w:r>
      <w:r w:rsidR="00DF586A">
        <w:t xml:space="preserve">ett meddelande </w:t>
      </w:r>
      <w:r>
        <w:t>”</w:t>
      </w:r>
      <w:r w:rsidR="00DF586A">
        <w:t xml:space="preserve"> Paris</w:t>
      </w:r>
      <w:r w:rsidR="00464CC2">
        <w:t xml:space="preserve"> i november i år (COP21)</w:t>
      </w:r>
      <w:r w:rsidR="00DF586A">
        <w:t xml:space="preserve">. Meddelandet väntas bl.a. innehålla förslag på EUs syn på ett nytt klimatavtal i Paris och utformningen av EUs tänkta nationellt beslutade bidrag. </w:t>
      </w:r>
    </w:p>
    <w:p w:rsidR="00DF586A" w:rsidRDefault="00DF586A" w:rsidP="00DF586A"/>
    <w:p w:rsidR="00DF586A" w:rsidRDefault="00DF586A" w:rsidP="00DF586A">
      <w:r w:rsidRPr="00784935">
        <w:t>Inom ramen för FN</w:t>
      </w:r>
      <w:r w:rsidR="00464CC2">
        <w:t>:</w:t>
      </w:r>
      <w:r w:rsidRPr="00784935">
        <w:t>s internationella klimatförhandlingar har</w:t>
      </w:r>
      <w:r>
        <w:t xml:space="preserve"> världens länder enats om att ett</w:t>
      </w:r>
      <w:r w:rsidRPr="00784935">
        <w:t xml:space="preserve"> ny</w:t>
      </w:r>
      <w:r>
        <w:t>tt</w:t>
      </w:r>
      <w:r w:rsidRPr="00784935">
        <w:t xml:space="preserve"> global </w:t>
      </w:r>
      <w:r>
        <w:t>klimatavtal</w:t>
      </w:r>
      <w:r w:rsidRPr="00784935">
        <w:t xml:space="preserve"> ska </w:t>
      </w:r>
      <w:r>
        <w:t>nås</w:t>
      </w:r>
      <w:r w:rsidRPr="00784935">
        <w:t xml:space="preserve"> </w:t>
      </w:r>
      <w:r>
        <w:t xml:space="preserve">vid COP21 i Paris, </w:t>
      </w:r>
      <w:r w:rsidR="00165D97">
        <w:t xml:space="preserve">som ska </w:t>
      </w:r>
      <w:r w:rsidRPr="00784935">
        <w:t>träda i kraft senast 2020</w:t>
      </w:r>
      <w:r>
        <w:t xml:space="preserve"> och gälla för alla parter</w:t>
      </w:r>
      <w:r w:rsidRPr="00784935">
        <w:t xml:space="preserve">. </w:t>
      </w:r>
      <w:r w:rsidR="00165D97">
        <w:t>V</w:t>
      </w:r>
      <w:r w:rsidRPr="00784935">
        <w:t xml:space="preserve">id </w:t>
      </w:r>
      <w:r>
        <w:t>partsmötet</w:t>
      </w:r>
      <w:r w:rsidRPr="00784935">
        <w:t xml:space="preserve"> i Durban </w:t>
      </w:r>
      <w:r>
        <w:t xml:space="preserve">i december 2011 </w:t>
      </w:r>
      <w:r w:rsidR="00165D97">
        <w:t xml:space="preserve">fattades beslut </w:t>
      </w:r>
      <w:r w:rsidRPr="00784935">
        <w:t xml:space="preserve">och mandat att ta fram ett protokoll, </w:t>
      </w:r>
      <w:r>
        <w:t xml:space="preserve">ett </w:t>
      </w:r>
      <w:r w:rsidRPr="00784935">
        <w:t xml:space="preserve">annat rättsligt instrument eller ett överenskommet utfall med rättslig verkan under </w:t>
      </w:r>
      <w:r>
        <w:t>klimat</w:t>
      </w:r>
      <w:r w:rsidRPr="00784935">
        <w:t>konventionen som gäller för alla parter</w:t>
      </w:r>
      <w:r>
        <w:t>. Avtalet ska bl.a. omfatta</w:t>
      </w:r>
      <w:r w:rsidRPr="00784935">
        <w:t>; utsläppsbegränsningar, anpassning, stöd för implementering inklusive finansiering, teknik</w:t>
      </w:r>
      <w:r>
        <w:t xml:space="preserve">utveckling och tekniköverföring, kapacitetsutveckling och </w:t>
      </w:r>
      <w:r w:rsidRPr="00784935">
        <w:t>transparens.</w:t>
      </w:r>
    </w:p>
    <w:p w:rsidR="00D15ED3" w:rsidRDefault="00D15ED3" w:rsidP="00DF586A"/>
    <w:p w:rsidR="00DF586A" w:rsidRDefault="00DF586A" w:rsidP="00DF586A">
      <w:r>
        <w:t>Vid COP19 i Warszawa fattade UNFCCC</w:t>
      </w:r>
      <w:r w:rsidR="00903DBF">
        <w:t>:</w:t>
      </w:r>
      <w:r>
        <w:t>s parter beslut om att</w:t>
      </w:r>
      <w:r w:rsidRPr="00FD4D12">
        <w:t xml:space="preserve"> alla länder </w:t>
      </w:r>
      <w:r>
        <w:t>ska</w:t>
      </w:r>
      <w:r w:rsidRPr="00FD4D12">
        <w:t xml:space="preserve"> kunna lägga fram sina bid</w:t>
      </w:r>
      <w:r>
        <w:t xml:space="preserve">rag till ett nytt klimatavtal </w:t>
      </w:r>
      <w:r w:rsidR="00D15ED3">
        <w:t xml:space="preserve">(INDC) </w:t>
      </w:r>
      <w:r w:rsidRPr="00FD4D12">
        <w:t>i god tid före</w:t>
      </w:r>
      <w:r>
        <w:t xml:space="preserve"> </w:t>
      </w:r>
      <w:r w:rsidRPr="00FD4D12">
        <w:t>COP</w:t>
      </w:r>
      <w:r>
        <w:t xml:space="preserve"> </w:t>
      </w:r>
      <w:r w:rsidRPr="00FD4D12">
        <w:t xml:space="preserve">21, under första kvartalet 2015 för de parter </w:t>
      </w:r>
      <w:r>
        <w:t>som har möjlighet att göra det. Detta beslut bekräftades vid COP20 i Lima</w:t>
      </w:r>
      <w:r w:rsidR="00165D97">
        <w:t xml:space="preserve"> och översiktliga riktlinjer för vad bidragen ska innehålla antogs</w:t>
      </w:r>
      <w:r>
        <w:t>. EU</w:t>
      </w:r>
      <w:r w:rsidR="00903DBF">
        <w:t>:</w:t>
      </w:r>
      <w:r>
        <w:t>s bidrag kommer att utgå ifrån Europeiska rådets beslut om att minska utsläppen med minst 40 procent till 2030 jämfört med 1990 års nivå.</w:t>
      </w:r>
    </w:p>
    <w:p w:rsidR="00DF586A" w:rsidRDefault="00DF586A" w:rsidP="00DF586A">
      <w:pPr>
        <w:pStyle w:val="RKnormal"/>
        <w:rPr>
          <w:i/>
          <w:iCs/>
          <w:color w:val="000000"/>
        </w:rPr>
      </w:pPr>
    </w:p>
    <w:p w:rsidR="00165D97" w:rsidRDefault="00165D97" w:rsidP="00DF586A">
      <w:pPr>
        <w:pStyle w:val="RKnormal"/>
        <w:rPr>
          <w:iCs/>
          <w:color w:val="000000"/>
        </w:rPr>
      </w:pPr>
      <w:r>
        <w:rPr>
          <w:iCs/>
          <w:color w:val="000000"/>
        </w:rPr>
        <w:t xml:space="preserve">Ordförandeskapet (Lettland) har den 26 februari presenterat ett förslag på EU:s och medlemsstaternas preliminära åtagande i ett nytt klimatavtal, så kallade tänkte nationella beslutade bidrag (INDC), för vidare hantering på Coreper 27 februari och för beslut på miljörådet den 6 mars. Förslaget har tagits fram i nära dialog med kommissionen och med beaktande av kommissionens meddelande. </w:t>
      </w:r>
    </w:p>
    <w:p w:rsidR="00165D97" w:rsidRDefault="00165D97" w:rsidP="00DF586A">
      <w:pPr>
        <w:pStyle w:val="RKnormal"/>
        <w:rPr>
          <w:i/>
          <w:iCs/>
          <w:color w:val="000000"/>
        </w:rPr>
      </w:pPr>
    </w:p>
    <w:p w:rsidR="00DF586A" w:rsidRPr="009F4DF6" w:rsidRDefault="00DF586A" w:rsidP="003A2FAD">
      <w:pPr>
        <w:pStyle w:val="RKnormal"/>
        <w:rPr>
          <w:b/>
          <w:i/>
          <w:iCs/>
          <w:color w:val="000000"/>
        </w:rPr>
      </w:pPr>
      <w:r w:rsidRPr="009F4DF6">
        <w:rPr>
          <w:b/>
          <w:i/>
          <w:iCs/>
          <w:color w:val="000000"/>
        </w:rPr>
        <w:t xml:space="preserve">Förslag till svensk ståndpunkt </w:t>
      </w:r>
      <w:r w:rsidR="003A2FAD" w:rsidRPr="009F4DF6">
        <w:rPr>
          <w:b/>
          <w:i/>
          <w:iCs/>
          <w:color w:val="000000"/>
        </w:rPr>
        <w:t>(</w:t>
      </w:r>
      <w:r w:rsidR="00165D97">
        <w:rPr>
          <w:b/>
          <w:i/>
          <w:iCs/>
          <w:color w:val="000000"/>
        </w:rPr>
        <w:t xml:space="preserve">avvaktar fortfarande </w:t>
      </w:r>
      <w:r w:rsidR="009F4DF6" w:rsidRPr="009F4DF6">
        <w:rPr>
          <w:b/>
          <w:i/>
          <w:iCs/>
          <w:color w:val="000000"/>
        </w:rPr>
        <w:t xml:space="preserve"> </w:t>
      </w:r>
      <w:r w:rsidR="00165D97">
        <w:rPr>
          <w:b/>
          <w:i/>
          <w:iCs/>
          <w:color w:val="000000"/>
        </w:rPr>
        <w:t>diskussionsfrågor och utfallet från Coreper</w:t>
      </w:r>
      <w:r w:rsidR="003A2FAD" w:rsidRPr="009F4DF6">
        <w:rPr>
          <w:b/>
          <w:i/>
          <w:iCs/>
          <w:color w:val="000000"/>
        </w:rPr>
        <w:t>)</w:t>
      </w:r>
    </w:p>
    <w:p w:rsidR="00DF586A" w:rsidRPr="009A5CBC" w:rsidRDefault="00DF586A" w:rsidP="00DF586A">
      <w:r>
        <w:t>Regeringen anser att d</w:t>
      </w:r>
      <w:r w:rsidRPr="00A91933">
        <w:t xml:space="preserve">en globala ambitionen vad gäller utsläppsminskningar måste öka väsentligt både före och efter 2020. </w:t>
      </w:r>
      <w:r w:rsidR="00A807A7">
        <w:t>Den</w:t>
      </w:r>
      <w:r w:rsidRPr="00A91933">
        <w:t xml:space="preserve"> övergripande målsättning</w:t>
      </w:r>
      <w:r w:rsidR="00A807A7">
        <w:t>en</w:t>
      </w:r>
      <w:r w:rsidRPr="00A91933">
        <w:t xml:space="preserve"> i klimatförhandlingarna är att </w:t>
      </w:r>
      <w:r>
        <w:t>vid COP21 i Paris fatta beslut om ett</w:t>
      </w:r>
      <w:r w:rsidRPr="00A91933">
        <w:t xml:space="preserve"> rättsligt bindande </w:t>
      </w:r>
      <w:r>
        <w:t>avtal</w:t>
      </w:r>
      <w:r w:rsidRPr="00A91933">
        <w:t xml:space="preserve"> som </w:t>
      </w:r>
      <w:r>
        <w:t>över tid kan hålla den globala temper</w:t>
      </w:r>
      <w:r w:rsidR="00D15ED3">
        <w:t>a</w:t>
      </w:r>
      <w:r>
        <w:t>turökningen så långt som möjligt</w:t>
      </w:r>
      <w:r w:rsidRPr="00A91933">
        <w:t xml:space="preserve"> under två grader. </w:t>
      </w:r>
      <w:r w:rsidRPr="000E558E">
        <w:t xml:space="preserve">Anpassning bör </w:t>
      </w:r>
      <w:r>
        <w:t xml:space="preserve">också </w:t>
      </w:r>
      <w:r w:rsidRPr="000E558E">
        <w:t xml:space="preserve">vara en central del av </w:t>
      </w:r>
      <w:r w:rsidR="00982221">
        <w:t>det nya a</w:t>
      </w:r>
      <w:r w:rsidRPr="000E558E">
        <w:t xml:space="preserve">vtalet och komplettera och förstärka ländernas åtgärder för att bli mer resilienta mot klimatförändringarna. Avtalet bör även omfatta och främja </w:t>
      </w:r>
      <w:r w:rsidRPr="009A5CBC">
        <w:t xml:space="preserve">transparens, finansiering, teknik och kapacitetsutveckling. </w:t>
      </w:r>
    </w:p>
    <w:p w:rsidR="00DF586A" w:rsidRPr="009A5CBC" w:rsidRDefault="00DF586A" w:rsidP="00DF586A"/>
    <w:p w:rsidR="00150F2F" w:rsidRPr="00C10CA2" w:rsidRDefault="00B82230" w:rsidP="00DF586A">
      <w:r>
        <w:rPr>
          <w:lang w:eastAsia="sv-SE"/>
        </w:rPr>
        <w:t>Regeringen välkomnar att beslutet från</w:t>
      </w:r>
      <w:r w:rsidR="00953DDB">
        <w:rPr>
          <w:lang w:eastAsia="sv-SE"/>
        </w:rPr>
        <w:t xml:space="preserve"> Europeiska rådet i oktober 2014</w:t>
      </w:r>
      <w:r>
        <w:rPr>
          <w:lang w:eastAsia="sv-SE"/>
        </w:rPr>
        <w:t xml:space="preserve"> om att utsläppen av växthusgaser ska minska med minst 40 procent från </w:t>
      </w:r>
      <w:r>
        <w:rPr>
          <w:lang w:eastAsia="sv-SE"/>
        </w:rPr>
        <w:lastRenderedPageBreak/>
        <w:t xml:space="preserve">1990 till 2030 bekräftas i ordförandeskapets förslag om EUs och dess medlemsstaters nationellt beslutade bidrag (INDC). </w:t>
      </w:r>
      <w:r w:rsidR="00DF586A" w:rsidRPr="009A5CBC">
        <w:t>Regeringen anser att EU</w:t>
      </w:r>
      <w:r w:rsidR="00903DBF">
        <w:t>:</w:t>
      </w:r>
      <w:r w:rsidR="00DF586A" w:rsidRPr="009A5CBC">
        <w:t xml:space="preserve">s tänkta nationellt beslutade bidrag om </w:t>
      </w:r>
      <w:r w:rsidR="00DF586A" w:rsidRPr="00634328">
        <w:rPr>
          <w:iCs/>
        </w:rPr>
        <w:t>utsläppsminskningar</w:t>
      </w:r>
      <w:r w:rsidR="00DF586A" w:rsidRPr="009A5CBC">
        <w:t xml:space="preserve"> </w:t>
      </w:r>
      <w:r w:rsidR="00D15ED3">
        <w:t xml:space="preserve">(INDC) </w:t>
      </w:r>
      <w:r w:rsidR="00DF586A" w:rsidRPr="009A5CBC">
        <w:t xml:space="preserve">ska lämnas in till UNFCCC under det första kvartalet 2015, i enlighet med besluten från COP19 och COP20. Det är viktigt att EU är ambitiöst och transparent och redovisar trovärdiga mål om </w:t>
      </w:r>
      <w:r w:rsidR="00DF586A" w:rsidRPr="00634328">
        <w:rPr>
          <w:iCs/>
        </w:rPr>
        <w:t>utsläppsminskningar</w:t>
      </w:r>
      <w:r w:rsidR="00DF586A" w:rsidRPr="009A5CBC">
        <w:t xml:space="preserve"> i sitt bidrag.</w:t>
      </w:r>
      <w:r w:rsidR="00DF586A">
        <w:t xml:space="preserve"> </w:t>
      </w:r>
      <w:r w:rsidR="00165D97">
        <w:t xml:space="preserve">Regeringen hade önskat skrivningar som öppnar för hur EU:s ambition kan höjas ytterligare, exempelvis genom internationella krediter. </w:t>
      </w:r>
    </w:p>
    <w:p w:rsidR="00DF586A" w:rsidRDefault="00207A1F" w:rsidP="004B0620">
      <w:pPr>
        <w:pStyle w:val="RKrubrik"/>
      </w:pPr>
      <w:r>
        <w:t>7.</w:t>
      </w:r>
      <w:r w:rsidR="004B0620">
        <w:t xml:space="preserve"> </w:t>
      </w:r>
      <w:r w:rsidR="00DF586A">
        <w:t>Meddelande om Energiunionen</w:t>
      </w:r>
    </w:p>
    <w:p w:rsidR="00DF586A" w:rsidRPr="00D065DF" w:rsidRDefault="00DF586A" w:rsidP="00DF586A">
      <w:pPr>
        <w:pStyle w:val="RKnormal"/>
        <w:numPr>
          <w:ilvl w:val="0"/>
          <w:numId w:val="2"/>
        </w:numPr>
        <w:rPr>
          <w:i/>
        </w:rPr>
      </w:pPr>
      <w:r w:rsidRPr="00D065DF">
        <w:rPr>
          <w:i/>
        </w:rPr>
        <w:t>presentation från kommissionen</w:t>
      </w:r>
    </w:p>
    <w:p w:rsidR="00DF586A" w:rsidRPr="00D065DF" w:rsidRDefault="00DF586A" w:rsidP="00DF586A">
      <w:pPr>
        <w:pStyle w:val="RKnormal"/>
        <w:numPr>
          <w:ilvl w:val="0"/>
          <w:numId w:val="2"/>
        </w:numPr>
        <w:rPr>
          <w:i/>
        </w:rPr>
      </w:pPr>
      <w:r w:rsidRPr="00D065DF">
        <w:rPr>
          <w:i/>
        </w:rPr>
        <w:t>åsiktsutbyte</w:t>
      </w:r>
    </w:p>
    <w:p w:rsidR="00DF586A" w:rsidRDefault="00DF586A" w:rsidP="00DF586A">
      <w:pPr>
        <w:pStyle w:val="RKnormal"/>
      </w:pPr>
    </w:p>
    <w:p w:rsidR="00DF586A" w:rsidRPr="00937A86" w:rsidRDefault="00DF586A" w:rsidP="00DF586A">
      <w:pPr>
        <w:pStyle w:val="Rubrik3"/>
        <w:rPr>
          <w:rFonts w:ascii="OrigGarmnd BT" w:hAnsi="OrigGarmnd BT"/>
          <w:b/>
          <w:i/>
          <w:sz w:val="24"/>
          <w:szCs w:val="24"/>
        </w:rPr>
      </w:pPr>
      <w:r w:rsidRPr="00937A86">
        <w:rPr>
          <w:rFonts w:ascii="OrigGarmnd BT" w:hAnsi="OrigGarmnd BT"/>
          <w:b/>
          <w:i/>
          <w:sz w:val="24"/>
          <w:szCs w:val="24"/>
        </w:rPr>
        <w:t>Bakgrund</w:t>
      </w:r>
    </w:p>
    <w:p w:rsidR="00D84E30" w:rsidRDefault="00D84E30" w:rsidP="00D84E30">
      <w:pPr>
        <w:pStyle w:val="RKnormal"/>
      </w:pPr>
      <w:r>
        <w:t xml:space="preserve">Av kommissionsordförande Jean-Claude Junckers prioriteringar för den nya kommissionens mandatperiod framgår att kommissionen avser att etablera en ”Energiunion med en framåtsyftande klimatpolitik”. </w:t>
      </w:r>
    </w:p>
    <w:p w:rsidR="00D84E30" w:rsidRDefault="00D84E30" w:rsidP="00D84E30">
      <w:pPr>
        <w:pStyle w:val="RKnormal"/>
      </w:pPr>
    </w:p>
    <w:p w:rsidR="00D84E30" w:rsidRDefault="00D84E30" w:rsidP="00D84E30">
      <w:pPr>
        <w:pStyle w:val="RKnormal"/>
      </w:pPr>
      <w:r>
        <w:t xml:space="preserve">En av vice ordförandena i kommissionen, Maros Sefcovic, har ansvar för Energiunionen. Han har i olika sammanhang listat fem dimensioner som ska täckas av energiunionen: försörjningstrygghet, fullgörande av inre marknaden, energieffektivisering, minskade klimatutsläpp samt forskning och innovation. Enligt kommissionen handlar det om att meddelandet ska lista ett antal åtgärder på två respektive fem års sikt, med en utblick till 2030. </w:t>
      </w:r>
    </w:p>
    <w:p w:rsidR="00D84E30" w:rsidRDefault="00D84E30" w:rsidP="00D84E30">
      <w:pPr>
        <w:pStyle w:val="RKnormal"/>
      </w:pPr>
    </w:p>
    <w:p w:rsidR="00D15ED3" w:rsidRDefault="00D84E30" w:rsidP="00D84E30">
      <w:pPr>
        <w:pStyle w:val="RKnormal"/>
      </w:pPr>
      <w:r>
        <w:t>Kommissionen presentera</w:t>
      </w:r>
      <w:r w:rsidR="00971D45">
        <w:t>de</w:t>
      </w:r>
      <w:r>
        <w:t xml:space="preserve"> ett meddelande om Energiunionen den 25 februari. </w:t>
      </w:r>
      <w:r w:rsidR="002B50E0">
        <w:t xml:space="preserve">Meddelandet </w:t>
      </w:r>
      <w:r>
        <w:t xml:space="preserve">ska diskuteras på TTE-rådet den 5 mars, </w:t>
      </w:r>
      <w:r w:rsidR="00903DBF">
        <w:t>M</w:t>
      </w:r>
      <w:r>
        <w:t xml:space="preserve">iljörådet den 6 mars och på Europeiska rådet den 19-20 mars. På TTE-rådet den 8 juni planerar det lettiska ordförandeskapet att det antas slutsatser. </w:t>
      </w:r>
    </w:p>
    <w:p w:rsidR="00D15ED3" w:rsidRDefault="00D15ED3" w:rsidP="00D84E30">
      <w:pPr>
        <w:pStyle w:val="RKnormal"/>
      </w:pPr>
    </w:p>
    <w:p w:rsidR="00D84E30" w:rsidRDefault="00D84E30" w:rsidP="00D84E30">
      <w:pPr>
        <w:pStyle w:val="RKnormal"/>
      </w:pPr>
      <w:r>
        <w:t xml:space="preserve">Inför diskussionen i </w:t>
      </w:r>
      <w:r w:rsidR="00903DBF">
        <w:t>M</w:t>
      </w:r>
      <w:r>
        <w:t>iljörådet har ordförandeskapet skickat ut en fråga som lyder: Hur kan åtgärder för minskade utsläpp bidra till skapandet av en Energiunionen med en framåtsyftande klimatpolitik</w:t>
      </w:r>
      <w:r w:rsidRPr="00EB086D">
        <w:t>?</w:t>
      </w:r>
    </w:p>
    <w:p w:rsidR="00D84E30" w:rsidRDefault="00D84E30" w:rsidP="00D84E30">
      <w:pPr>
        <w:pStyle w:val="RKnormal"/>
      </w:pPr>
    </w:p>
    <w:p w:rsidR="00DF586A" w:rsidRPr="003A2FAD" w:rsidRDefault="00DF586A" w:rsidP="00DF586A">
      <w:pPr>
        <w:pStyle w:val="Rubrik3"/>
        <w:rPr>
          <w:rFonts w:ascii="OrigGarmnd BT" w:hAnsi="OrigGarmnd BT"/>
          <w:b/>
          <w:i/>
          <w:sz w:val="24"/>
          <w:szCs w:val="24"/>
        </w:rPr>
      </w:pPr>
      <w:r w:rsidRPr="003A2FAD">
        <w:rPr>
          <w:rFonts w:ascii="OrigGarmnd BT" w:hAnsi="OrigGarmnd BT"/>
          <w:b/>
          <w:i/>
          <w:sz w:val="24"/>
          <w:szCs w:val="24"/>
        </w:rPr>
        <w:t xml:space="preserve">Förslag till </w:t>
      </w:r>
      <w:r w:rsidR="003A2FAD">
        <w:rPr>
          <w:rFonts w:ascii="OrigGarmnd BT" w:hAnsi="OrigGarmnd BT"/>
          <w:b/>
          <w:i/>
          <w:sz w:val="24"/>
          <w:szCs w:val="24"/>
        </w:rPr>
        <w:t>svensk</w:t>
      </w:r>
      <w:r w:rsidRPr="003A2FAD">
        <w:rPr>
          <w:rFonts w:ascii="OrigGarmnd BT" w:hAnsi="OrigGarmnd BT"/>
          <w:b/>
          <w:i/>
          <w:sz w:val="24"/>
          <w:szCs w:val="24"/>
        </w:rPr>
        <w:t xml:space="preserve"> ståndpunkt</w:t>
      </w:r>
      <w:r w:rsidR="003A2FAD" w:rsidRPr="003A2FAD">
        <w:rPr>
          <w:rFonts w:ascii="OrigGarmnd BT" w:hAnsi="OrigGarmnd BT"/>
          <w:b/>
          <w:i/>
          <w:sz w:val="24"/>
          <w:szCs w:val="24"/>
        </w:rPr>
        <w:t xml:space="preserve"> </w:t>
      </w:r>
      <w:r w:rsidR="00971D45">
        <w:rPr>
          <w:rFonts w:ascii="OrigGarmnd BT" w:hAnsi="OrigGarmnd BT"/>
          <w:b/>
          <w:i/>
          <w:sz w:val="24"/>
          <w:szCs w:val="24"/>
        </w:rPr>
        <w:t>:</w:t>
      </w:r>
    </w:p>
    <w:p w:rsidR="00644C30" w:rsidRDefault="00DF586A" w:rsidP="00644C30">
      <w:r>
        <w:t xml:space="preserve">Regeringen föreslår att Sverige välkomnar att Energiunionen tas upp för diskussion på </w:t>
      </w:r>
      <w:r w:rsidR="00903DBF">
        <w:t>M</w:t>
      </w:r>
      <w:r>
        <w:t>iljörådet. Det är centralt att energiunionen inrymmer en framåtsyftande klimatpolitik.</w:t>
      </w:r>
    </w:p>
    <w:p w:rsidR="00644C30" w:rsidRDefault="00644C30" w:rsidP="00DF586A"/>
    <w:p w:rsidR="00DF586A" w:rsidRDefault="00DF586A" w:rsidP="00DF586A">
      <w:r>
        <w:lastRenderedPageBreak/>
        <w:t xml:space="preserve">Regeringen betonar vikten av synergier mellan de fem dimensioner av energiunionen som kommissionen indikerat ska ingå i förslaget. </w:t>
      </w:r>
      <w:r w:rsidRPr="006B141B">
        <w:t xml:space="preserve">Regeringen anser att Energiunionen ska </w:t>
      </w:r>
      <w:r w:rsidR="002B50E0">
        <w:t>bidra till</w:t>
      </w:r>
      <w:r w:rsidR="002B50E0" w:rsidRPr="006B141B">
        <w:t xml:space="preserve"> </w:t>
      </w:r>
      <w:r w:rsidRPr="006B141B">
        <w:t xml:space="preserve">att skapa ett energisystem som är i linje med vad som krävs för </w:t>
      </w:r>
      <w:r w:rsidRPr="006A41BF">
        <w:rPr>
          <w:bCs/>
        </w:rPr>
        <w:t xml:space="preserve">att </w:t>
      </w:r>
      <w:r>
        <w:rPr>
          <w:bCs/>
        </w:rPr>
        <w:t>klara</w:t>
      </w:r>
      <w:r w:rsidRPr="006A41BF">
        <w:rPr>
          <w:bCs/>
        </w:rPr>
        <w:t xml:space="preserve"> två</w:t>
      </w:r>
      <w:r w:rsidR="00903DBF">
        <w:rPr>
          <w:bCs/>
        </w:rPr>
        <w:t>-</w:t>
      </w:r>
      <w:r w:rsidRPr="00644C30">
        <w:t xml:space="preserve">gradersmålet och </w:t>
      </w:r>
      <w:r w:rsidRPr="006A41BF">
        <w:t>EU</w:t>
      </w:r>
      <w:r>
        <w:t>:s mål om att</w:t>
      </w:r>
      <w:r w:rsidRPr="006B141B">
        <w:t xml:space="preserve"> minska sina utsläpp med 80-95 % till 2050. </w:t>
      </w:r>
      <w:r w:rsidR="00644C30" w:rsidRPr="00644C30">
        <w:t>För att nå 2030-målen för förnybart och energieffektivisering behöver ett ramverk för styrning tas fram snarast.</w:t>
      </w:r>
      <w:r w:rsidR="00644C30">
        <w:t xml:space="preserve"> </w:t>
      </w:r>
      <w:r w:rsidRPr="006B141B">
        <w:t xml:space="preserve">Åtgärder för att </w:t>
      </w:r>
      <w:r>
        <w:t>bidra till</w:t>
      </w:r>
      <w:r w:rsidRPr="006B141B">
        <w:t xml:space="preserve"> </w:t>
      </w:r>
      <w:r>
        <w:t xml:space="preserve">EU:s </w:t>
      </w:r>
      <w:r w:rsidRPr="006B141B">
        <w:t xml:space="preserve">tre energipolitiska </w:t>
      </w:r>
      <w:r>
        <w:t>pelare (</w:t>
      </w:r>
      <w:r w:rsidRPr="006B141B">
        <w:t>ekologisk hållbarhet, konkurrenskraft och försörjningstrygghet</w:t>
      </w:r>
      <w:r>
        <w:t>)</w:t>
      </w:r>
      <w:r w:rsidRPr="006B141B">
        <w:t xml:space="preserve"> sk</w:t>
      </w:r>
      <w:r>
        <w:t>a vara ömsesidigt förstärkande.</w:t>
      </w:r>
      <w:r w:rsidRPr="00644C30">
        <w:t xml:space="preserve"> </w:t>
      </w:r>
      <w:r>
        <w:t xml:space="preserve">Fullgörande av den inre marknaden liksom kostnadseffektiva styrmedel mot målet om minskade klimatutsläpp har en särskild betydelse. </w:t>
      </w:r>
      <w:r w:rsidR="002B50E0">
        <w:t>E</w:t>
      </w:r>
      <w:r>
        <w:t>tt ensidigt fokus på exempelvis försörjningstrygghet</w:t>
      </w:r>
      <w:r w:rsidR="002B50E0">
        <w:t xml:space="preserve"> bör undvikas</w:t>
      </w:r>
      <w:r>
        <w:t xml:space="preserve">. Energieffektivisering och en högre andel förnybar energi kan bidra till att minska EU:s långsiktiga energiberoende. Subventioner till fossila bränslen inom EU bör fasas ut. </w:t>
      </w:r>
      <w:r w:rsidR="00971D45" w:rsidRPr="00A9788B">
        <w:t>Vi bör också inom EU se över investeringar och finansieringsflöden så att de bidrar till våra långsiktiga klimatmål.</w:t>
      </w:r>
    </w:p>
    <w:p w:rsidR="00DF586A" w:rsidRDefault="00DF586A" w:rsidP="00DF586A"/>
    <w:p w:rsidR="006E4E11" w:rsidRDefault="00DF586A" w:rsidP="00937A86">
      <w:r>
        <w:t xml:space="preserve">Regeringen har identifierat åtgärder inom transport- och värmesektorn som konkreta områden för EU att </w:t>
      </w:r>
      <w:r w:rsidR="002B50E0">
        <w:t>avancera och utveckla Energiunionen</w:t>
      </w:r>
      <w:r>
        <w:t>. Åtgärder inom dessa sektorer kan bidra både till ökad försörjningstrygghet och minskade klimatutsläpp. I sammanhanget är det viktigt med framtagandet av en EU-strategi för minskning av utsläppen från transportsektorn efter 2020. En sådan strategi bör inkludera el, energieffektivitet och biodrivmedel.</w:t>
      </w:r>
    </w:p>
    <w:p w:rsidR="00207A1F" w:rsidRDefault="00207A1F" w:rsidP="00937A86"/>
    <w:p w:rsidR="00971D45" w:rsidRDefault="00971D45" w:rsidP="00937A86">
      <w:r>
        <w:rPr>
          <w:color w:val="1F497D"/>
        </w:rPr>
        <w:t>KOM föreslår ett flertal initiativ som regeringen kan behöva ta närmare ställning till i senare förhandlingar av rådsslutsatser.</w:t>
      </w:r>
    </w:p>
    <w:p w:rsidR="00207A1F" w:rsidRDefault="00207A1F" w:rsidP="00207A1F">
      <w:pPr>
        <w:pStyle w:val="RKrubrik"/>
      </w:pPr>
      <w:r>
        <w:t>Övriga frågor</w:t>
      </w:r>
    </w:p>
    <w:p w:rsidR="00717F21" w:rsidRPr="00717F21" w:rsidRDefault="00717F21" w:rsidP="00717F21">
      <w:pPr>
        <w:pStyle w:val="Liststycke"/>
        <w:rPr>
          <w:b/>
          <w:bCs/>
          <w:szCs w:val="24"/>
        </w:rPr>
      </w:pPr>
    </w:p>
    <w:p w:rsidR="00717F21" w:rsidRDefault="00717F21" w:rsidP="00717F21">
      <w:pPr>
        <w:tabs>
          <w:tab w:val="left" w:pos="1134"/>
        </w:tabs>
        <w:rPr>
          <w:color w:val="000000"/>
          <w:szCs w:val="24"/>
          <w:lang w:val="en-GB"/>
        </w:rPr>
      </w:pPr>
      <w:r w:rsidRPr="00C97985">
        <w:rPr>
          <w:b/>
          <w:color w:val="000000"/>
          <w:szCs w:val="24"/>
        </w:rPr>
        <w:t>7.</w:t>
      </w:r>
      <w:r w:rsidR="00A92835" w:rsidRPr="00C97985">
        <w:rPr>
          <w:b/>
          <w:color w:val="000000"/>
          <w:szCs w:val="24"/>
        </w:rPr>
        <w:t xml:space="preserve"> </w:t>
      </w:r>
      <w:r w:rsidR="00A92835" w:rsidRPr="00C97985">
        <w:rPr>
          <w:b/>
          <w:color w:val="000000"/>
          <w:szCs w:val="24"/>
          <w:lang w:val="en-GB"/>
        </w:rPr>
        <w:t>a</w:t>
      </w:r>
      <w:r w:rsidRPr="00C97985">
        <w:rPr>
          <w:b/>
          <w:color w:val="000000"/>
          <w:szCs w:val="24"/>
          <w:lang w:val="en-GB"/>
        </w:rPr>
        <w:t>)</w:t>
      </w:r>
      <w:r w:rsidRPr="00C97985">
        <w:rPr>
          <w:b/>
          <w:color w:val="000000"/>
          <w:szCs w:val="24"/>
          <w:lang w:val="en-GB"/>
        </w:rPr>
        <w:tab/>
        <w:t>Minska användningen</w:t>
      </w:r>
      <w:r w:rsidRPr="00A92835">
        <w:rPr>
          <w:b/>
          <w:color w:val="000000"/>
          <w:szCs w:val="24"/>
          <w:lang w:val="en-GB"/>
        </w:rPr>
        <w:t xml:space="preserve"> av HFC (fluorkolväten)</w:t>
      </w:r>
      <w:r>
        <w:rPr>
          <w:color w:val="000000"/>
          <w:szCs w:val="24"/>
          <w:lang w:val="en-GB"/>
        </w:rPr>
        <w:t xml:space="preserve">  </w:t>
      </w:r>
    </w:p>
    <w:p w:rsidR="00717F21" w:rsidRPr="00717F21" w:rsidRDefault="00717F21" w:rsidP="00717F21">
      <w:pPr>
        <w:tabs>
          <w:tab w:val="left" w:pos="1134"/>
        </w:tabs>
        <w:rPr>
          <w:bCs/>
          <w:i/>
          <w:szCs w:val="24"/>
          <w:lang w:val="en-GB"/>
        </w:rPr>
      </w:pPr>
      <w:r>
        <w:rPr>
          <w:color w:val="000000"/>
          <w:szCs w:val="24"/>
          <w:lang w:val="en-GB"/>
        </w:rPr>
        <w:tab/>
      </w:r>
      <w:r>
        <w:rPr>
          <w:bCs/>
          <w:i/>
          <w:szCs w:val="24"/>
          <w:lang w:val="en-GB"/>
        </w:rPr>
        <w:t xml:space="preserve">- </w:t>
      </w:r>
      <w:r w:rsidRPr="00717F21">
        <w:rPr>
          <w:i/>
          <w:iCs/>
          <w:color w:val="000000"/>
          <w:szCs w:val="24"/>
          <w:lang w:val="en-GB"/>
        </w:rPr>
        <w:t>Information fr</w:t>
      </w:r>
      <w:r>
        <w:rPr>
          <w:i/>
          <w:iCs/>
          <w:color w:val="000000"/>
          <w:szCs w:val="24"/>
          <w:lang w:val="en-GB"/>
        </w:rPr>
        <w:t>ån kommissionen</w:t>
      </w:r>
    </w:p>
    <w:p w:rsidR="00717F21" w:rsidRPr="00717F21" w:rsidRDefault="00717F21" w:rsidP="00717F21">
      <w:pPr>
        <w:rPr>
          <w:color w:val="000000"/>
          <w:szCs w:val="24"/>
          <w:lang w:val="en-GB"/>
        </w:rPr>
      </w:pPr>
    </w:p>
    <w:p w:rsidR="00717F21" w:rsidRPr="00717F21" w:rsidRDefault="00717F21" w:rsidP="00717F21">
      <w:pPr>
        <w:rPr>
          <w:color w:val="000000"/>
          <w:szCs w:val="24"/>
          <w:lang w:val="en-GB"/>
        </w:rPr>
      </w:pPr>
      <w:r w:rsidRPr="00717F21">
        <w:rPr>
          <w:iCs/>
          <w:color w:val="000000"/>
        </w:rPr>
        <w:t xml:space="preserve">Kommissionen har för avsikt att informera om arbetet med att lägga till </w:t>
      </w:r>
      <w:r w:rsidR="007B6169">
        <w:rPr>
          <w:iCs/>
          <w:color w:val="000000"/>
        </w:rPr>
        <w:t xml:space="preserve">växthusgasen </w:t>
      </w:r>
      <w:r w:rsidRPr="00717F21">
        <w:rPr>
          <w:iCs/>
          <w:color w:val="000000"/>
        </w:rPr>
        <w:t xml:space="preserve">HFC till Montrealprotokollet. </w:t>
      </w:r>
      <w:r w:rsidR="007B6169">
        <w:rPr>
          <w:iCs/>
          <w:color w:val="000000"/>
        </w:rPr>
        <w:t>I april hålls ett extrainsatt globalt möte för att förhandla om HFC. Förhandlingarna kommer att fortgå i juli i Paris och eventuella beslut fattas vid partsmötet i Dubai i november. Ett beslut innevarande år kan bli en viktig milstolpe på vägen till klimatförhandlingarna i Paris och få stor betydelse för klimatet.</w:t>
      </w:r>
    </w:p>
    <w:p w:rsidR="00717F21" w:rsidRPr="00717F21" w:rsidRDefault="00717F21" w:rsidP="00717F21">
      <w:pPr>
        <w:rPr>
          <w:color w:val="000000"/>
          <w:szCs w:val="24"/>
        </w:rPr>
      </w:pPr>
    </w:p>
    <w:p w:rsidR="00717F21" w:rsidRPr="00717F21" w:rsidRDefault="00717F21" w:rsidP="00717F21">
      <w:pPr>
        <w:rPr>
          <w:color w:val="000000"/>
          <w:szCs w:val="24"/>
        </w:rPr>
      </w:pPr>
      <w:r w:rsidRPr="00717F21">
        <w:rPr>
          <w:color w:val="000000"/>
          <w:szCs w:val="24"/>
        </w:rPr>
        <w:t>Sedan 2009 har USA, Kanada och Mexiko samt Mikronesien inom ramen för Montrealprotokollet lagt fram förslag att lägga till HFC till Montrealprotokollet för att fasa ned konsumtion och produktion av HFC (fluorkolväten)</w:t>
      </w:r>
    </w:p>
    <w:p w:rsidR="00717F21" w:rsidRPr="00717F21" w:rsidRDefault="00717F21" w:rsidP="00717F21">
      <w:pPr>
        <w:rPr>
          <w:color w:val="000000"/>
          <w:szCs w:val="24"/>
        </w:rPr>
      </w:pPr>
    </w:p>
    <w:p w:rsidR="007B6169" w:rsidRPr="00717F21" w:rsidRDefault="00717F21">
      <w:pPr>
        <w:rPr>
          <w:color w:val="000000"/>
          <w:szCs w:val="24"/>
        </w:rPr>
      </w:pPr>
      <w:r w:rsidRPr="00717F21">
        <w:rPr>
          <w:color w:val="000000"/>
          <w:szCs w:val="24"/>
        </w:rPr>
        <w:t xml:space="preserve">EU:s position är att HFC bör fasas ned genom åtaganden inom ramen för Montrealprotokollet. </w:t>
      </w:r>
      <w:r w:rsidR="0026434D">
        <w:rPr>
          <w:color w:val="000000"/>
          <w:szCs w:val="24"/>
        </w:rPr>
        <w:t>[</w:t>
      </w:r>
      <w:r w:rsidR="00EC2898">
        <w:rPr>
          <w:color w:val="000000"/>
          <w:sz w:val="26"/>
          <w:szCs w:val="24"/>
        </w:rPr>
        <w:t>]</w:t>
      </w:r>
      <w:r w:rsidRPr="00717F21">
        <w:rPr>
          <w:color w:val="000000"/>
          <w:szCs w:val="24"/>
        </w:rPr>
        <w:t xml:space="preserve">Eventuellt kommer </w:t>
      </w:r>
      <w:r w:rsidR="00D15ED3">
        <w:rPr>
          <w:color w:val="000000"/>
          <w:szCs w:val="24"/>
        </w:rPr>
        <w:t>EU</w:t>
      </w:r>
      <w:r w:rsidR="00D15ED3" w:rsidRPr="00717F21">
        <w:rPr>
          <w:color w:val="000000"/>
          <w:szCs w:val="24"/>
        </w:rPr>
        <w:t xml:space="preserve"> </w:t>
      </w:r>
      <w:r w:rsidRPr="00717F21">
        <w:rPr>
          <w:color w:val="000000"/>
          <w:szCs w:val="24"/>
        </w:rPr>
        <w:t xml:space="preserve">att lägga fram ett eget förslag till tillägg </w:t>
      </w:r>
      <w:r>
        <w:rPr>
          <w:color w:val="000000"/>
          <w:szCs w:val="24"/>
        </w:rPr>
        <w:t xml:space="preserve"> i förhandlingarna under detta </w:t>
      </w:r>
      <w:r w:rsidRPr="00717F21">
        <w:rPr>
          <w:color w:val="000000"/>
          <w:szCs w:val="24"/>
        </w:rPr>
        <w:t xml:space="preserve">år. </w:t>
      </w:r>
    </w:p>
    <w:p w:rsidR="00207A1F" w:rsidRPr="00207A1F" w:rsidRDefault="00207A1F" w:rsidP="00717F21">
      <w:pPr>
        <w:pStyle w:val="RKnormal"/>
      </w:pPr>
    </w:p>
    <w:p w:rsidR="009D1B50" w:rsidRDefault="00A92835" w:rsidP="00A92835">
      <w:pPr>
        <w:ind w:left="720" w:hanging="720"/>
        <w:rPr>
          <w:b/>
          <w:color w:val="000000"/>
          <w:szCs w:val="24"/>
          <w:lang w:val="en-GB"/>
        </w:rPr>
      </w:pPr>
      <w:r w:rsidRPr="00A92835">
        <w:rPr>
          <w:b/>
          <w:color w:val="000000"/>
          <w:szCs w:val="24"/>
          <w:lang w:val="en-GB"/>
        </w:rPr>
        <w:t>7. b)</w:t>
      </w:r>
      <w:r w:rsidRPr="00A92835">
        <w:rPr>
          <w:b/>
          <w:color w:val="000000"/>
          <w:szCs w:val="24"/>
          <w:lang w:val="en-GB"/>
        </w:rPr>
        <w:tab/>
        <w:t xml:space="preserve"> Andra ministerkonferensen om miljö och förnybar energi i dialogen för västra medelhavet</w:t>
      </w:r>
      <w:r w:rsidR="009D1B50">
        <w:rPr>
          <w:b/>
          <w:color w:val="000000"/>
          <w:szCs w:val="24"/>
          <w:lang w:val="en-GB"/>
        </w:rPr>
        <w:t xml:space="preserve"> </w:t>
      </w:r>
    </w:p>
    <w:p w:rsidR="00A92835" w:rsidRPr="00EC1B17" w:rsidRDefault="009D1B50" w:rsidP="009D1B50">
      <w:pPr>
        <w:ind w:left="720"/>
        <w:rPr>
          <w:b/>
          <w:i/>
          <w:color w:val="000000"/>
          <w:szCs w:val="24"/>
          <w:lang w:val="en-GB"/>
        </w:rPr>
      </w:pPr>
      <w:r w:rsidRPr="00EC1B17">
        <w:rPr>
          <w:b/>
          <w:i/>
          <w:color w:val="000000"/>
          <w:szCs w:val="24"/>
          <w:lang w:val="en-GB"/>
        </w:rPr>
        <w:t xml:space="preserve">– </w:t>
      </w:r>
      <w:r w:rsidRPr="00EC1B17">
        <w:rPr>
          <w:i/>
          <w:color w:val="000000"/>
          <w:szCs w:val="24"/>
          <w:lang w:val="en-GB"/>
        </w:rPr>
        <w:t>Information från Portugal</w:t>
      </w:r>
    </w:p>
    <w:p w:rsidR="00A92835" w:rsidRPr="00EC1B17" w:rsidRDefault="00A92835" w:rsidP="00A92835">
      <w:pPr>
        <w:spacing w:line="240" w:lineRule="auto"/>
        <w:rPr>
          <w:rFonts w:asciiTheme="minorHAnsi" w:hAnsiTheme="minorHAnsi"/>
          <w:i/>
          <w:sz w:val="22"/>
          <w:szCs w:val="22"/>
        </w:rPr>
      </w:pPr>
    </w:p>
    <w:p w:rsidR="00FD0D3C" w:rsidRDefault="00A92835" w:rsidP="00A92835">
      <w:r>
        <w:t xml:space="preserve">Den andra ministerkonferensen om miljö och förnybar energi i dialogen för västra </w:t>
      </w:r>
      <w:r w:rsidR="00804FEA">
        <w:t>M</w:t>
      </w:r>
      <w:r>
        <w:t>edelhavet äger rum i Lissabon den 2-3 mars. Dialogen som inrättades 1990 omfattar Algeriet, Frankrike, Italien, Libyen, Malta, Mauretanien, Marocko, Portugal, Spanien och Tunisien. Under konferensen kommer de inbjudna ministrarna från regionen att diskutera huvudsakligen två frågor; vägen till klimatkonferensen i Paris</w:t>
      </w:r>
      <w:r w:rsidR="00804FEA">
        <w:t xml:space="preserve"> (COP21)</w:t>
      </w:r>
      <w:r>
        <w:t xml:space="preserve"> och samarbete inom områdena energieffektivisering och förnybar energi. Vid miljöministermötet kommer den portugisiska delegationen att informera om utfallet från konferensen. </w:t>
      </w:r>
    </w:p>
    <w:p w:rsidR="00FD0D3C" w:rsidRPr="009D1B50" w:rsidRDefault="00FD0D3C" w:rsidP="00FD0D3C">
      <w:pPr>
        <w:pStyle w:val="Rubrik1"/>
        <w:rPr>
          <w:rFonts w:ascii="OrigGarmnd BT" w:hAnsi="OrigGarmnd BT"/>
          <w:color w:val="000000"/>
          <w:kern w:val="0"/>
          <w:sz w:val="24"/>
          <w:szCs w:val="24"/>
          <w:lang w:val="en-GB"/>
        </w:rPr>
      </w:pPr>
      <w:r w:rsidRPr="009D1B50">
        <w:rPr>
          <w:rFonts w:ascii="OrigGarmnd BT" w:hAnsi="OrigGarmnd BT"/>
          <w:color w:val="000000"/>
          <w:kern w:val="0"/>
          <w:sz w:val="24"/>
          <w:szCs w:val="24"/>
          <w:lang w:val="en-GB"/>
        </w:rPr>
        <w:t>7 c) Hårdgöring av mark – ett ökande problem på europeisk nivå</w:t>
      </w:r>
    </w:p>
    <w:p w:rsidR="00FD0D3C" w:rsidRPr="00EC1B17" w:rsidRDefault="00FD0D3C" w:rsidP="00FD0D3C">
      <w:pPr>
        <w:pStyle w:val="RKnormal"/>
        <w:numPr>
          <w:ilvl w:val="0"/>
          <w:numId w:val="11"/>
        </w:numPr>
        <w:textAlignment w:val="auto"/>
        <w:rPr>
          <w:i/>
        </w:rPr>
      </w:pPr>
      <w:r w:rsidRPr="00EC1B17">
        <w:rPr>
          <w:i/>
        </w:rPr>
        <w:t>Information från Österrike</w:t>
      </w:r>
    </w:p>
    <w:p w:rsidR="00FD0D3C" w:rsidRDefault="00FD0D3C" w:rsidP="00FD0D3C">
      <w:pPr>
        <w:pStyle w:val="RKnormal"/>
      </w:pPr>
    </w:p>
    <w:p w:rsidR="00207A1F" w:rsidRPr="00DF586A" w:rsidRDefault="00FD0D3C" w:rsidP="0050553D">
      <w:pPr>
        <w:pStyle w:val="RKnormal"/>
      </w:pPr>
      <w:r>
        <w:t>Mot bakgrund av att 2015 är det internationella året för mark vill Österrike uppmärksamma denna fråga. Österrike efterfrågar en diskussion på miljörådet i syfte att skapa en helhetssyn på frågan om hårdgöring av mark, som de menar utgör ett ökande problem. Österrike pekar på ett behov av att stärka medvetenheten om hårdgöring av mark och påminner om den vägledning med goda exempel för att begränsa och kompensera för hårdgöring av mark som EU-kommissionen tagit fram i samarbete med medlemsstaterna, samt om målet om ”no net land take” till 2050 som finns i EU-kommissionens förslag till färdplan för ett resurseffektivt Europa</w:t>
      </w:r>
      <w:r w:rsidR="0050553D">
        <w:t>.</w:t>
      </w:r>
    </w:p>
    <w:sectPr w:rsidR="00207A1F" w:rsidRPr="00DF586A" w:rsidSect="00DF586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EA5" w:rsidRDefault="00135EA5">
      <w:r>
        <w:separator/>
      </w:r>
    </w:p>
  </w:endnote>
  <w:endnote w:type="continuationSeparator" w:id="0">
    <w:p w:rsidR="00135EA5" w:rsidRDefault="00135EA5">
      <w:r>
        <w:continuationSeparator/>
      </w:r>
    </w:p>
  </w:endnote>
  <w:endnote w:type="continuationNotice" w:id="1">
    <w:p w:rsidR="00135EA5" w:rsidRDefault="00135E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Bold">
    <w:panose1 w:val="00000600000000000000"/>
    <w:charset w:val="00"/>
    <w:family w:val="auto"/>
    <w:pitch w:val="variable"/>
    <w:sig w:usb0="00000003" w:usb1="00000000" w:usb2="00000000" w:usb3="00000000" w:csb0="00000001"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EA5" w:rsidRDefault="00135EA5">
      <w:r>
        <w:separator/>
      </w:r>
    </w:p>
  </w:footnote>
  <w:footnote w:type="continuationSeparator" w:id="0">
    <w:p w:rsidR="00135EA5" w:rsidRDefault="00135EA5">
      <w:r>
        <w:continuationSeparator/>
      </w:r>
    </w:p>
  </w:footnote>
  <w:footnote w:type="continuationNotice" w:id="1">
    <w:p w:rsidR="00135EA5" w:rsidRDefault="00135EA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EA" w:rsidRDefault="00804FEA" w:rsidP="00DF586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0127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04FEA">
      <w:trPr>
        <w:cantSplit/>
      </w:trPr>
      <w:tc>
        <w:tcPr>
          <w:tcW w:w="3119" w:type="dxa"/>
        </w:tcPr>
        <w:p w:rsidR="00804FEA" w:rsidRDefault="00804FEA" w:rsidP="00DF586A">
          <w:pPr>
            <w:pStyle w:val="Sidhuvud"/>
            <w:spacing w:line="200" w:lineRule="atLeast"/>
            <w:ind w:right="360" w:firstLine="360"/>
            <w:rPr>
              <w:rFonts w:ascii="TradeGothic" w:hAnsi="TradeGothic"/>
              <w:b/>
              <w:bCs/>
              <w:sz w:val="16"/>
            </w:rPr>
          </w:pPr>
        </w:p>
      </w:tc>
      <w:tc>
        <w:tcPr>
          <w:tcW w:w="4111" w:type="dxa"/>
          <w:tcMar>
            <w:left w:w="567" w:type="dxa"/>
          </w:tcMar>
        </w:tcPr>
        <w:p w:rsidR="00804FEA" w:rsidRDefault="00804FEA">
          <w:pPr>
            <w:pStyle w:val="Sidhuvud"/>
            <w:ind w:right="360"/>
          </w:pPr>
        </w:p>
      </w:tc>
      <w:tc>
        <w:tcPr>
          <w:tcW w:w="1525" w:type="dxa"/>
        </w:tcPr>
        <w:p w:rsidR="00804FEA" w:rsidRDefault="00804FEA">
          <w:pPr>
            <w:pStyle w:val="Sidhuvud"/>
            <w:ind w:right="360"/>
          </w:pPr>
        </w:p>
      </w:tc>
    </w:tr>
  </w:tbl>
  <w:p w:rsidR="00804FEA" w:rsidRDefault="00804FE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EA" w:rsidRDefault="00804FEA" w:rsidP="00DF586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0127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04FEA">
      <w:trPr>
        <w:cantSplit/>
      </w:trPr>
      <w:tc>
        <w:tcPr>
          <w:tcW w:w="3119" w:type="dxa"/>
        </w:tcPr>
        <w:p w:rsidR="00804FEA" w:rsidRDefault="00804FEA" w:rsidP="00DF586A">
          <w:pPr>
            <w:pStyle w:val="Sidhuvud"/>
            <w:spacing w:line="200" w:lineRule="atLeast"/>
            <w:ind w:right="360" w:firstLine="360"/>
            <w:rPr>
              <w:rFonts w:ascii="TradeGothic" w:hAnsi="TradeGothic"/>
              <w:b/>
              <w:bCs/>
              <w:sz w:val="16"/>
            </w:rPr>
          </w:pPr>
        </w:p>
      </w:tc>
      <w:tc>
        <w:tcPr>
          <w:tcW w:w="4111" w:type="dxa"/>
          <w:tcMar>
            <w:left w:w="567" w:type="dxa"/>
          </w:tcMar>
        </w:tcPr>
        <w:p w:rsidR="00804FEA" w:rsidRDefault="00804FEA">
          <w:pPr>
            <w:pStyle w:val="Sidhuvud"/>
            <w:ind w:right="360"/>
          </w:pPr>
        </w:p>
      </w:tc>
      <w:tc>
        <w:tcPr>
          <w:tcW w:w="1525" w:type="dxa"/>
        </w:tcPr>
        <w:p w:rsidR="00804FEA" w:rsidRDefault="00804FEA">
          <w:pPr>
            <w:pStyle w:val="Sidhuvud"/>
            <w:ind w:right="360"/>
          </w:pPr>
        </w:p>
      </w:tc>
    </w:tr>
  </w:tbl>
  <w:p w:rsidR="00804FEA" w:rsidRDefault="00804FE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EA" w:rsidRDefault="00804FEA">
    <w:pPr>
      <w:framePr w:w="2948" w:h="1321" w:hRule="exact" w:wrap="notBeside" w:vAnchor="page" w:hAnchor="page" w:x="1362" w:y="653"/>
    </w:pPr>
    <w:r>
      <w:rPr>
        <w:noProof/>
        <w:lang w:eastAsia="sv-SE"/>
      </w:rPr>
      <w:drawing>
        <wp:inline distT="0" distB="0" distL="0" distR="0" wp14:anchorId="5F2DA8F4" wp14:editId="5F2DA8F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804FEA" w:rsidRPr="00DF586A" w:rsidRDefault="00804FEA">
    <w:pPr>
      <w:pStyle w:val="RKrubrik"/>
      <w:keepNext w:val="0"/>
      <w:tabs>
        <w:tab w:val="clear" w:pos="1134"/>
        <w:tab w:val="clear" w:pos="2835"/>
      </w:tabs>
      <w:spacing w:before="0" w:after="0" w:line="320" w:lineRule="atLeast"/>
      <w:rPr>
        <w:bCs/>
      </w:rPr>
    </w:pPr>
  </w:p>
  <w:p w:rsidR="00804FEA" w:rsidRPr="00DF586A" w:rsidRDefault="00804FEA">
    <w:pPr>
      <w:rPr>
        <w:rFonts w:ascii="TradeGothic" w:hAnsi="TradeGothic"/>
        <w:b/>
        <w:bCs/>
        <w:spacing w:val="12"/>
        <w:sz w:val="22"/>
      </w:rPr>
    </w:pPr>
  </w:p>
  <w:p w:rsidR="00804FEA" w:rsidRPr="00DF586A" w:rsidRDefault="00804FEA">
    <w:pPr>
      <w:pStyle w:val="RKrubrik"/>
      <w:keepNext w:val="0"/>
      <w:tabs>
        <w:tab w:val="clear" w:pos="1134"/>
        <w:tab w:val="clear" w:pos="2835"/>
      </w:tabs>
      <w:spacing w:before="0" w:after="0" w:line="320" w:lineRule="atLeast"/>
      <w:rPr>
        <w:bCs/>
      </w:rPr>
    </w:pPr>
  </w:p>
  <w:p w:rsidR="00804FEA" w:rsidRPr="00DF586A" w:rsidRDefault="00804FEA">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D2C"/>
    <w:multiLevelType w:val="hybridMultilevel"/>
    <w:tmpl w:val="40FC66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B834EFB"/>
    <w:multiLevelType w:val="hybridMultilevel"/>
    <w:tmpl w:val="EA00C3C4"/>
    <w:lvl w:ilvl="0" w:tplc="1654D9AA">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F0144AA"/>
    <w:multiLevelType w:val="hybridMultilevel"/>
    <w:tmpl w:val="6B3666A0"/>
    <w:lvl w:ilvl="0" w:tplc="11F07F5C">
      <w:numFmt w:val="bullet"/>
      <w:lvlText w:val="-"/>
      <w:lvlJc w:val="left"/>
      <w:pPr>
        <w:ind w:left="720" w:hanging="360"/>
      </w:pPr>
      <w:rPr>
        <w:rFonts w:ascii="TradeGothic Bold" w:eastAsia="Times New Roman" w:hAnsi="TradeGothic Bold" w:cs="Times New Roman" w:hint="default"/>
        <w:i w:val="0"/>
        <w:sz w:val="24"/>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4D2F3D1C"/>
    <w:multiLevelType w:val="hybridMultilevel"/>
    <w:tmpl w:val="36001F9E"/>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1CA6F57"/>
    <w:multiLevelType w:val="hybridMultilevel"/>
    <w:tmpl w:val="40FC66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57D51A2"/>
    <w:multiLevelType w:val="hybridMultilevel"/>
    <w:tmpl w:val="82A8FD72"/>
    <w:lvl w:ilvl="0" w:tplc="E38E618A">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6">
    <w:nsid w:val="605E3D14"/>
    <w:multiLevelType w:val="hybridMultilevel"/>
    <w:tmpl w:val="9E362A7A"/>
    <w:lvl w:ilvl="0" w:tplc="2D2A1A3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CB81421"/>
    <w:multiLevelType w:val="hybridMultilevel"/>
    <w:tmpl w:val="B24449B6"/>
    <w:lvl w:ilvl="0" w:tplc="E58CF2D6">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FE97C42"/>
    <w:multiLevelType w:val="hybridMultilevel"/>
    <w:tmpl w:val="9480929E"/>
    <w:lvl w:ilvl="0" w:tplc="701675FA">
      <w:start w:val="7"/>
      <w:numFmt w:val="bullet"/>
      <w:lvlText w:val="-"/>
      <w:lvlJc w:val="left"/>
      <w:pPr>
        <w:ind w:left="1065" w:hanging="360"/>
      </w:pPr>
      <w:rPr>
        <w:rFonts w:ascii="OrigGarmnd BT" w:eastAsia="Times New Roman" w:hAnsi="OrigGarmnd BT" w:cs="Times New Roman" w:hint="default"/>
      </w:rPr>
    </w:lvl>
    <w:lvl w:ilvl="1" w:tplc="041D0003">
      <w:start w:val="1"/>
      <w:numFmt w:val="bullet"/>
      <w:lvlText w:val="o"/>
      <w:lvlJc w:val="left"/>
      <w:pPr>
        <w:ind w:left="1785" w:hanging="360"/>
      </w:pPr>
      <w:rPr>
        <w:rFonts w:ascii="Courier New" w:hAnsi="Courier New" w:cs="Courier New" w:hint="default"/>
      </w:rPr>
    </w:lvl>
    <w:lvl w:ilvl="2" w:tplc="041D0005">
      <w:start w:val="1"/>
      <w:numFmt w:val="bullet"/>
      <w:lvlText w:val=""/>
      <w:lvlJc w:val="left"/>
      <w:pPr>
        <w:ind w:left="2505" w:hanging="360"/>
      </w:pPr>
      <w:rPr>
        <w:rFonts w:ascii="Wingdings" w:hAnsi="Wingdings" w:hint="default"/>
      </w:rPr>
    </w:lvl>
    <w:lvl w:ilvl="3" w:tplc="041D0001">
      <w:start w:val="1"/>
      <w:numFmt w:val="bullet"/>
      <w:lvlText w:val=""/>
      <w:lvlJc w:val="left"/>
      <w:pPr>
        <w:ind w:left="3225" w:hanging="360"/>
      </w:pPr>
      <w:rPr>
        <w:rFonts w:ascii="Symbol" w:hAnsi="Symbol" w:hint="default"/>
      </w:rPr>
    </w:lvl>
    <w:lvl w:ilvl="4" w:tplc="041D0003">
      <w:start w:val="1"/>
      <w:numFmt w:val="bullet"/>
      <w:lvlText w:val="o"/>
      <w:lvlJc w:val="left"/>
      <w:pPr>
        <w:ind w:left="3945" w:hanging="360"/>
      </w:pPr>
      <w:rPr>
        <w:rFonts w:ascii="Courier New" w:hAnsi="Courier New" w:cs="Courier New" w:hint="default"/>
      </w:rPr>
    </w:lvl>
    <w:lvl w:ilvl="5" w:tplc="041D0005">
      <w:start w:val="1"/>
      <w:numFmt w:val="bullet"/>
      <w:lvlText w:val=""/>
      <w:lvlJc w:val="left"/>
      <w:pPr>
        <w:ind w:left="4665" w:hanging="360"/>
      </w:pPr>
      <w:rPr>
        <w:rFonts w:ascii="Wingdings" w:hAnsi="Wingdings" w:hint="default"/>
      </w:rPr>
    </w:lvl>
    <w:lvl w:ilvl="6" w:tplc="041D0001">
      <w:start w:val="1"/>
      <w:numFmt w:val="bullet"/>
      <w:lvlText w:val=""/>
      <w:lvlJc w:val="left"/>
      <w:pPr>
        <w:ind w:left="5385" w:hanging="360"/>
      </w:pPr>
      <w:rPr>
        <w:rFonts w:ascii="Symbol" w:hAnsi="Symbol" w:hint="default"/>
      </w:rPr>
    </w:lvl>
    <w:lvl w:ilvl="7" w:tplc="041D0003">
      <w:start w:val="1"/>
      <w:numFmt w:val="bullet"/>
      <w:lvlText w:val="o"/>
      <w:lvlJc w:val="left"/>
      <w:pPr>
        <w:ind w:left="6105" w:hanging="360"/>
      </w:pPr>
      <w:rPr>
        <w:rFonts w:ascii="Courier New" w:hAnsi="Courier New" w:cs="Courier New" w:hint="default"/>
      </w:rPr>
    </w:lvl>
    <w:lvl w:ilvl="8" w:tplc="041D0005">
      <w:start w:val="1"/>
      <w:numFmt w:val="bullet"/>
      <w:lvlText w:val=""/>
      <w:lvlJc w:val="left"/>
      <w:pPr>
        <w:ind w:left="6825" w:hanging="360"/>
      </w:pPr>
      <w:rPr>
        <w:rFonts w:ascii="Wingdings" w:hAnsi="Wingdings" w:hint="default"/>
      </w:rPr>
    </w:lvl>
  </w:abstractNum>
  <w:abstractNum w:abstractNumId="9">
    <w:nsid w:val="71A5041C"/>
    <w:multiLevelType w:val="hybridMultilevel"/>
    <w:tmpl w:val="940649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B583147"/>
    <w:multiLevelType w:val="hybridMultilevel"/>
    <w:tmpl w:val="3FFAA52C"/>
    <w:lvl w:ilvl="0" w:tplc="2D2A1A3A">
      <w:numFmt w:val="bullet"/>
      <w:lvlText w:val="-"/>
      <w:lvlJc w:val="left"/>
      <w:pPr>
        <w:ind w:left="1425" w:hanging="360"/>
      </w:pPr>
      <w:rPr>
        <w:rFonts w:ascii="OrigGarmnd BT" w:eastAsia="Times New Roman" w:hAnsi="OrigGarmnd BT" w:cs="Times New Roman" w:hint="default"/>
      </w:rPr>
    </w:lvl>
    <w:lvl w:ilvl="1" w:tplc="041D0003" w:tentative="1">
      <w:start w:val="1"/>
      <w:numFmt w:val="bullet"/>
      <w:lvlText w:val="o"/>
      <w:lvlJc w:val="left"/>
      <w:pPr>
        <w:ind w:left="2145" w:hanging="360"/>
      </w:pPr>
      <w:rPr>
        <w:rFonts w:ascii="Courier New" w:hAnsi="Courier New" w:cs="Courier New" w:hint="default"/>
      </w:rPr>
    </w:lvl>
    <w:lvl w:ilvl="2" w:tplc="041D0005" w:tentative="1">
      <w:start w:val="1"/>
      <w:numFmt w:val="bullet"/>
      <w:lvlText w:val=""/>
      <w:lvlJc w:val="left"/>
      <w:pPr>
        <w:ind w:left="2865" w:hanging="360"/>
      </w:pPr>
      <w:rPr>
        <w:rFonts w:ascii="Wingdings" w:hAnsi="Wingdings" w:hint="default"/>
      </w:rPr>
    </w:lvl>
    <w:lvl w:ilvl="3" w:tplc="041D0001" w:tentative="1">
      <w:start w:val="1"/>
      <w:numFmt w:val="bullet"/>
      <w:lvlText w:val=""/>
      <w:lvlJc w:val="left"/>
      <w:pPr>
        <w:ind w:left="3585" w:hanging="360"/>
      </w:pPr>
      <w:rPr>
        <w:rFonts w:ascii="Symbol" w:hAnsi="Symbol" w:hint="default"/>
      </w:rPr>
    </w:lvl>
    <w:lvl w:ilvl="4" w:tplc="041D0003" w:tentative="1">
      <w:start w:val="1"/>
      <w:numFmt w:val="bullet"/>
      <w:lvlText w:val="o"/>
      <w:lvlJc w:val="left"/>
      <w:pPr>
        <w:ind w:left="4305" w:hanging="360"/>
      </w:pPr>
      <w:rPr>
        <w:rFonts w:ascii="Courier New" w:hAnsi="Courier New" w:cs="Courier New" w:hint="default"/>
      </w:rPr>
    </w:lvl>
    <w:lvl w:ilvl="5" w:tplc="041D0005" w:tentative="1">
      <w:start w:val="1"/>
      <w:numFmt w:val="bullet"/>
      <w:lvlText w:val=""/>
      <w:lvlJc w:val="left"/>
      <w:pPr>
        <w:ind w:left="5025" w:hanging="360"/>
      </w:pPr>
      <w:rPr>
        <w:rFonts w:ascii="Wingdings" w:hAnsi="Wingdings" w:hint="default"/>
      </w:rPr>
    </w:lvl>
    <w:lvl w:ilvl="6" w:tplc="041D0001" w:tentative="1">
      <w:start w:val="1"/>
      <w:numFmt w:val="bullet"/>
      <w:lvlText w:val=""/>
      <w:lvlJc w:val="left"/>
      <w:pPr>
        <w:ind w:left="5745" w:hanging="360"/>
      </w:pPr>
      <w:rPr>
        <w:rFonts w:ascii="Symbol" w:hAnsi="Symbol" w:hint="default"/>
      </w:rPr>
    </w:lvl>
    <w:lvl w:ilvl="7" w:tplc="041D0003" w:tentative="1">
      <w:start w:val="1"/>
      <w:numFmt w:val="bullet"/>
      <w:lvlText w:val="o"/>
      <w:lvlJc w:val="left"/>
      <w:pPr>
        <w:ind w:left="6465" w:hanging="360"/>
      </w:pPr>
      <w:rPr>
        <w:rFonts w:ascii="Courier New" w:hAnsi="Courier New" w:cs="Courier New" w:hint="default"/>
      </w:rPr>
    </w:lvl>
    <w:lvl w:ilvl="8" w:tplc="041D0005" w:tentative="1">
      <w:start w:val="1"/>
      <w:numFmt w:val="bullet"/>
      <w:lvlText w:val=""/>
      <w:lvlJc w:val="left"/>
      <w:pPr>
        <w:ind w:left="7185" w:hanging="360"/>
      </w:pPr>
      <w:rPr>
        <w:rFonts w:ascii="Wingdings" w:hAnsi="Wingdings" w:hint="default"/>
      </w:rPr>
    </w:lvl>
  </w:abstractNum>
  <w:num w:numId="1">
    <w:abstractNumId w:val="7"/>
  </w:num>
  <w:num w:numId="2">
    <w:abstractNumId w:val="1"/>
  </w:num>
  <w:num w:numId="3">
    <w:abstractNumId w:val="9"/>
  </w:num>
  <w:num w:numId="4">
    <w:abstractNumId w:val="6"/>
  </w:num>
  <w:num w:numId="5">
    <w:abstractNumId w:val="10"/>
  </w:num>
  <w:num w:numId="6">
    <w:abstractNumId w:val="5"/>
  </w:num>
  <w:num w:numId="7">
    <w:abstractNumId w:val="4"/>
  </w:num>
  <w:num w:numId="8">
    <w:abstractNumId w:val="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6"/>
    <w:docVar w:name="docDep" w:val="11"/>
    <w:docVar w:name="docSprak" w:val="0"/>
  </w:docVars>
  <w:rsids>
    <w:rsidRoot w:val="00DF586A"/>
    <w:rsid w:val="0000161F"/>
    <w:rsid w:val="00003E5E"/>
    <w:rsid w:val="00057670"/>
    <w:rsid w:val="000854D3"/>
    <w:rsid w:val="001074E0"/>
    <w:rsid w:val="001173D7"/>
    <w:rsid w:val="00135EA5"/>
    <w:rsid w:val="00150384"/>
    <w:rsid w:val="00150F2F"/>
    <w:rsid w:val="00160901"/>
    <w:rsid w:val="00165D97"/>
    <w:rsid w:val="001805B7"/>
    <w:rsid w:val="001A2178"/>
    <w:rsid w:val="001B5665"/>
    <w:rsid w:val="001E7CB5"/>
    <w:rsid w:val="00207A1F"/>
    <w:rsid w:val="002635D3"/>
    <w:rsid w:val="0026434D"/>
    <w:rsid w:val="002A6497"/>
    <w:rsid w:val="002B50E0"/>
    <w:rsid w:val="00356B40"/>
    <w:rsid w:val="00367B1C"/>
    <w:rsid w:val="003A2FAD"/>
    <w:rsid w:val="00434EB8"/>
    <w:rsid w:val="00451C92"/>
    <w:rsid w:val="00455491"/>
    <w:rsid w:val="00461D3C"/>
    <w:rsid w:val="00464CC2"/>
    <w:rsid w:val="004A328D"/>
    <w:rsid w:val="004B0620"/>
    <w:rsid w:val="004C44D4"/>
    <w:rsid w:val="004E1562"/>
    <w:rsid w:val="0050553D"/>
    <w:rsid w:val="00505BB3"/>
    <w:rsid w:val="005075A6"/>
    <w:rsid w:val="0058762B"/>
    <w:rsid w:val="005C529C"/>
    <w:rsid w:val="00610149"/>
    <w:rsid w:val="00644C30"/>
    <w:rsid w:val="0064654A"/>
    <w:rsid w:val="006E4E11"/>
    <w:rsid w:val="00717F21"/>
    <w:rsid w:val="007242A3"/>
    <w:rsid w:val="00791E0A"/>
    <w:rsid w:val="007A6855"/>
    <w:rsid w:val="007B52F4"/>
    <w:rsid w:val="007B6169"/>
    <w:rsid w:val="007D5AB8"/>
    <w:rsid w:val="00804FEA"/>
    <w:rsid w:val="00891A96"/>
    <w:rsid w:val="008C0F01"/>
    <w:rsid w:val="00903DBF"/>
    <w:rsid w:val="0092027A"/>
    <w:rsid w:val="00937A86"/>
    <w:rsid w:val="00953DDB"/>
    <w:rsid w:val="00955E31"/>
    <w:rsid w:val="00965D95"/>
    <w:rsid w:val="00971D45"/>
    <w:rsid w:val="00982221"/>
    <w:rsid w:val="00992E72"/>
    <w:rsid w:val="009D1B50"/>
    <w:rsid w:val="009F4DF6"/>
    <w:rsid w:val="00A1422B"/>
    <w:rsid w:val="00A807A7"/>
    <w:rsid w:val="00A80E1B"/>
    <w:rsid w:val="00A92835"/>
    <w:rsid w:val="00AF26D1"/>
    <w:rsid w:val="00B01276"/>
    <w:rsid w:val="00B755C8"/>
    <w:rsid w:val="00B82230"/>
    <w:rsid w:val="00BD55B2"/>
    <w:rsid w:val="00C10CA2"/>
    <w:rsid w:val="00C82444"/>
    <w:rsid w:val="00C92AEB"/>
    <w:rsid w:val="00C97985"/>
    <w:rsid w:val="00CF7715"/>
    <w:rsid w:val="00D133D7"/>
    <w:rsid w:val="00D15ED3"/>
    <w:rsid w:val="00D84E30"/>
    <w:rsid w:val="00DC5E86"/>
    <w:rsid w:val="00DF586A"/>
    <w:rsid w:val="00E80146"/>
    <w:rsid w:val="00E904D0"/>
    <w:rsid w:val="00EC1B17"/>
    <w:rsid w:val="00EC25F9"/>
    <w:rsid w:val="00EC2898"/>
    <w:rsid w:val="00ED583F"/>
    <w:rsid w:val="00FB6A33"/>
    <w:rsid w:val="00FD0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DF586A"/>
    <w:rPr>
      <w:rFonts w:ascii="OrigGarmnd BT" w:hAnsi="OrigGarmnd BT"/>
      <w:sz w:val="24"/>
      <w:lang w:eastAsia="en-US"/>
    </w:rPr>
  </w:style>
  <w:style w:type="paragraph" w:styleId="Liststycke">
    <w:name w:val="List Paragraph"/>
    <w:basedOn w:val="Normal"/>
    <w:uiPriority w:val="34"/>
    <w:qFormat/>
    <w:rsid w:val="00DF586A"/>
    <w:pPr>
      <w:overflowPunct/>
      <w:autoSpaceDE/>
      <w:autoSpaceDN/>
      <w:adjustRightInd/>
      <w:spacing w:line="240" w:lineRule="auto"/>
      <w:ind w:left="720"/>
      <w:textAlignment w:val="auto"/>
    </w:pPr>
    <w:rPr>
      <w:rFonts w:ascii="Calibri" w:eastAsia="Calibri" w:hAnsi="Calibri"/>
      <w:sz w:val="22"/>
      <w:szCs w:val="22"/>
    </w:rPr>
  </w:style>
  <w:style w:type="character" w:styleId="Kommentarsreferens">
    <w:name w:val="annotation reference"/>
    <w:rsid w:val="00DF586A"/>
    <w:rPr>
      <w:sz w:val="16"/>
      <w:szCs w:val="16"/>
    </w:rPr>
  </w:style>
  <w:style w:type="paragraph" w:styleId="Kommentarer">
    <w:name w:val="annotation text"/>
    <w:basedOn w:val="Normal"/>
    <w:link w:val="KommentarerChar"/>
    <w:rsid w:val="00DF586A"/>
    <w:pPr>
      <w:spacing w:line="240" w:lineRule="auto"/>
    </w:pPr>
    <w:rPr>
      <w:sz w:val="20"/>
    </w:rPr>
  </w:style>
  <w:style w:type="character" w:customStyle="1" w:styleId="KommentarerChar">
    <w:name w:val="Kommentarer Char"/>
    <w:basedOn w:val="Standardstycketeckensnitt"/>
    <w:link w:val="Kommentarer"/>
    <w:rsid w:val="00DF586A"/>
    <w:rPr>
      <w:rFonts w:ascii="OrigGarmnd BT" w:hAnsi="OrigGarmnd BT"/>
      <w:lang w:eastAsia="en-US"/>
    </w:rPr>
  </w:style>
  <w:style w:type="paragraph" w:styleId="Ballongtext">
    <w:name w:val="Balloon Text"/>
    <w:basedOn w:val="Normal"/>
    <w:link w:val="BallongtextChar"/>
    <w:rsid w:val="00DF586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586A"/>
    <w:rPr>
      <w:rFonts w:ascii="Tahoma" w:hAnsi="Tahoma" w:cs="Tahoma"/>
      <w:sz w:val="16"/>
      <w:szCs w:val="16"/>
      <w:lang w:eastAsia="en-US"/>
    </w:rPr>
  </w:style>
  <w:style w:type="paragraph" w:styleId="Kommentarsmne">
    <w:name w:val="annotation subject"/>
    <w:basedOn w:val="Kommentarer"/>
    <w:next w:val="Kommentarer"/>
    <w:link w:val="KommentarsmneChar"/>
    <w:rsid w:val="00D15ED3"/>
    <w:rPr>
      <w:b/>
      <w:bCs/>
    </w:rPr>
  </w:style>
  <w:style w:type="character" w:customStyle="1" w:styleId="KommentarsmneChar">
    <w:name w:val="Kommentarsämne Char"/>
    <w:basedOn w:val="KommentarerChar"/>
    <w:link w:val="Kommentarsmne"/>
    <w:rsid w:val="00D15ED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DF586A"/>
    <w:rPr>
      <w:rFonts w:ascii="OrigGarmnd BT" w:hAnsi="OrigGarmnd BT"/>
      <w:sz w:val="24"/>
      <w:lang w:eastAsia="en-US"/>
    </w:rPr>
  </w:style>
  <w:style w:type="paragraph" w:styleId="Liststycke">
    <w:name w:val="List Paragraph"/>
    <w:basedOn w:val="Normal"/>
    <w:uiPriority w:val="34"/>
    <w:qFormat/>
    <w:rsid w:val="00DF586A"/>
    <w:pPr>
      <w:overflowPunct/>
      <w:autoSpaceDE/>
      <w:autoSpaceDN/>
      <w:adjustRightInd/>
      <w:spacing w:line="240" w:lineRule="auto"/>
      <w:ind w:left="720"/>
      <w:textAlignment w:val="auto"/>
    </w:pPr>
    <w:rPr>
      <w:rFonts w:ascii="Calibri" w:eastAsia="Calibri" w:hAnsi="Calibri"/>
      <w:sz w:val="22"/>
      <w:szCs w:val="22"/>
    </w:rPr>
  </w:style>
  <w:style w:type="character" w:styleId="Kommentarsreferens">
    <w:name w:val="annotation reference"/>
    <w:rsid w:val="00DF586A"/>
    <w:rPr>
      <w:sz w:val="16"/>
      <w:szCs w:val="16"/>
    </w:rPr>
  </w:style>
  <w:style w:type="paragraph" w:styleId="Kommentarer">
    <w:name w:val="annotation text"/>
    <w:basedOn w:val="Normal"/>
    <w:link w:val="KommentarerChar"/>
    <w:rsid w:val="00DF586A"/>
    <w:pPr>
      <w:spacing w:line="240" w:lineRule="auto"/>
    </w:pPr>
    <w:rPr>
      <w:sz w:val="20"/>
    </w:rPr>
  </w:style>
  <w:style w:type="character" w:customStyle="1" w:styleId="KommentarerChar">
    <w:name w:val="Kommentarer Char"/>
    <w:basedOn w:val="Standardstycketeckensnitt"/>
    <w:link w:val="Kommentarer"/>
    <w:rsid w:val="00DF586A"/>
    <w:rPr>
      <w:rFonts w:ascii="OrigGarmnd BT" w:hAnsi="OrigGarmnd BT"/>
      <w:lang w:eastAsia="en-US"/>
    </w:rPr>
  </w:style>
  <w:style w:type="paragraph" w:styleId="Ballongtext">
    <w:name w:val="Balloon Text"/>
    <w:basedOn w:val="Normal"/>
    <w:link w:val="BallongtextChar"/>
    <w:rsid w:val="00DF586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586A"/>
    <w:rPr>
      <w:rFonts w:ascii="Tahoma" w:hAnsi="Tahoma" w:cs="Tahoma"/>
      <w:sz w:val="16"/>
      <w:szCs w:val="16"/>
      <w:lang w:eastAsia="en-US"/>
    </w:rPr>
  </w:style>
  <w:style w:type="paragraph" w:styleId="Kommentarsmne">
    <w:name w:val="annotation subject"/>
    <w:basedOn w:val="Kommentarer"/>
    <w:next w:val="Kommentarer"/>
    <w:link w:val="KommentarsmneChar"/>
    <w:rsid w:val="00D15ED3"/>
    <w:rPr>
      <w:b/>
      <w:bCs/>
    </w:rPr>
  </w:style>
  <w:style w:type="character" w:customStyle="1" w:styleId="KommentarsmneChar">
    <w:name w:val="Kommentarsämne Char"/>
    <w:basedOn w:val="KommentarerChar"/>
    <w:link w:val="Kommentarsmne"/>
    <w:rsid w:val="00D15ED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927">
      <w:bodyDiv w:val="1"/>
      <w:marLeft w:val="0"/>
      <w:marRight w:val="0"/>
      <w:marTop w:val="0"/>
      <w:marBottom w:val="0"/>
      <w:divBdr>
        <w:top w:val="none" w:sz="0" w:space="0" w:color="auto"/>
        <w:left w:val="none" w:sz="0" w:space="0" w:color="auto"/>
        <w:bottom w:val="none" w:sz="0" w:space="0" w:color="auto"/>
        <w:right w:val="none" w:sz="0" w:space="0" w:color="auto"/>
      </w:divBdr>
    </w:div>
    <w:div w:id="1043749427">
      <w:bodyDiv w:val="1"/>
      <w:marLeft w:val="0"/>
      <w:marRight w:val="0"/>
      <w:marTop w:val="0"/>
      <w:marBottom w:val="0"/>
      <w:divBdr>
        <w:top w:val="none" w:sz="0" w:space="0" w:color="auto"/>
        <w:left w:val="none" w:sz="0" w:space="0" w:color="auto"/>
        <w:bottom w:val="none" w:sz="0" w:space="0" w:color="auto"/>
        <w:right w:val="none" w:sz="0" w:space="0" w:color="auto"/>
      </w:divBdr>
    </w:div>
    <w:div w:id="1759985126">
      <w:bodyDiv w:val="1"/>
      <w:marLeft w:val="0"/>
      <w:marRight w:val="0"/>
      <w:marTop w:val="0"/>
      <w:marBottom w:val="0"/>
      <w:divBdr>
        <w:top w:val="none" w:sz="0" w:space="0" w:color="auto"/>
        <w:left w:val="none" w:sz="0" w:space="0" w:color="auto"/>
        <w:bottom w:val="none" w:sz="0" w:space="0" w:color="auto"/>
        <w:right w:val="none" w:sz="0" w:space="0" w:color="auto"/>
      </w:divBdr>
    </w:div>
    <w:div w:id="2051874054">
      <w:bodyDiv w:val="1"/>
      <w:marLeft w:val="0"/>
      <w:marRight w:val="0"/>
      <w:marTop w:val="0"/>
      <w:marBottom w:val="0"/>
      <w:divBdr>
        <w:top w:val="none" w:sz="0" w:space="0" w:color="auto"/>
        <w:left w:val="none" w:sz="0" w:space="0" w:color="auto"/>
        <w:bottom w:val="none" w:sz="0" w:space="0" w:color="auto"/>
        <w:right w:val="none" w:sz="0" w:space="0" w:color="auto"/>
      </w:divBdr>
    </w:div>
    <w:div w:id="20857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bf0e5f9-1f0b-4072-8f84-e3d930683740">3SATFRVJSNRX-2-118</_dlc_DocId>
    <_dlc_DocIdUrl xmlns="7bf0e5f9-1f0b-4072-8f84-e3d930683740">
      <Url>http://rkdhs-tillf/yta/MR6mars/_layouts/DocIdRedir.aspx?ID=3SATFRVJSNRX-2-118</Url>
      <Description>3SATFRVJSNRX-2-118</Description>
    </_dlc_DocIdUrl>
    <c9cd366cc722410295b9eacffbd73909 xmlns="7bf0e5f9-1f0b-4072-8f84-e3d930683740">
      <Terms xmlns="http://schemas.microsoft.com/office/infopath/2007/PartnerControls"/>
    </c9cd366cc722410295b9eacffbd73909>
    <Diarienummer xmlns="7bf0e5f9-1f0b-4072-8f84-e3d930683740" xsi:nil="true"/>
    <Nyckelord xmlns="7bf0e5f9-1f0b-4072-8f84-e3d930683740" xsi:nil="true"/>
    <k46d94c0acf84ab9a79866a9d8b1905f xmlns="7bf0e5f9-1f0b-4072-8f84-e3d930683740">
      <Terms xmlns="http://schemas.microsoft.com/office/infopath/2007/PartnerControls"/>
    </k46d94c0acf84ab9a79866a9d8b1905f>
    <Sekretess xmlns="7bf0e5f9-1f0b-4072-8f84-e3d930683740" xsi:nil="true"/>
    <TaxCatchAll xmlns="7bf0e5f9-1f0b-4072-8f84-e3d930683740"/>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622A032CB6EAB248A9051402419E24BE" ma:contentTypeVersion="7" ma:contentTypeDescription="Skapa ett nytt dokument." ma:contentTypeScope="" ma:versionID="b7a09b7a175cc0aaea4dc62f6e029701">
  <xsd:schema xmlns:xsd="http://www.w3.org/2001/XMLSchema" xmlns:xs="http://www.w3.org/2001/XMLSchema" xmlns:p="http://schemas.microsoft.com/office/2006/metadata/properties" xmlns:ns2="7bf0e5f9-1f0b-4072-8f84-e3d930683740" targetNamespace="http://schemas.microsoft.com/office/2006/metadata/properties" ma:root="true" ma:fieldsID="f800047ecc4992886c284deda94d5bf6" ns2:_="">
    <xsd:import namespace="7bf0e5f9-1f0b-4072-8f84-e3d930683740"/>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0e5f9-1f0b-4072-8f84-e3d93068374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7ca460e7-25a8-4d2b-9c78-23ae371a0cea}" ma:internalName="TaxCatchAll" ma:showField="CatchAllData" ma:web="7bf0e5f9-1f0b-4072-8f84-e3d93068374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7ca460e7-25a8-4d2b-9c78-23ae371a0cea}" ma:internalName="TaxCatchAllLabel" ma:readOnly="true" ma:showField="CatchAllDataLabel" ma:web="7bf0e5f9-1f0b-4072-8f84-e3d93068374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84A2-50CD-48A3-B468-7ACF93029758}">
  <ds:schemaRefs>
    <ds:schemaRef ds:uri="http://schemas.microsoft.com/sharepoint/events"/>
  </ds:schemaRefs>
</ds:datastoreItem>
</file>

<file path=customXml/itemProps2.xml><?xml version="1.0" encoding="utf-8"?>
<ds:datastoreItem xmlns:ds="http://schemas.openxmlformats.org/officeDocument/2006/customXml" ds:itemID="{7DCD65B7-BCA1-4D4B-A2B8-CD429D1BEA95}">
  <ds:schemaRefs>
    <ds:schemaRef ds:uri="http://purl.org/dc/elements/1.1/"/>
    <ds:schemaRef ds:uri="http://schemas.microsoft.com/office/2006/documentManagement/types"/>
    <ds:schemaRef ds:uri="http://purl.org/dc/dcmitype/"/>
    <ds:schemaRef ds:uri="http://schemas.microsoft.com/office/2006/metadata/properties"/>
    <ds:schemaRef ds:uri="7bf0e5f9-1f0b-4072-8f84-e3d930683740"/>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F27FD5C-19AD-4532-84B4-4C7060DBC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0e5f9-1f0b-4072-8f84-e3d930683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833E4-BF52-4A7F-ACAB-9B82EE08C9A5}">
  <ds:schemaRefs>
    <ds:schemaRef ds:uri="http://schemas.microsoft.com/sharepoint/v3/contenttype/forms/url"/>
  </ds:schemaRefs>
</ds:datastoreItem>
</file>

<file path=customXml/itemProps5.xml><?xml version="1.0" encoding="utf-8"?>
<ds:datastoreItem xmlns:ds="http://schemas.openxmlformats.org/officeDocument/2006/customXml" ds:itemID="{2A9D706B-BC0C-4E69-A2F5-52BEC00FB053}">
  <ds:schemaRefs>
    <ds:schemaRef ds:uri="http://schemas.microsoft.com/sharepoint/v3/contenttype/forms"/>
  </ds:schemaRefs>
</ds:datastoreItem>
</file>

<file path=customXml/itemProps6.xml><?xml version="1.0" encoding="utf-8"?>
<ds:datastoreItem xmlns:ds="http://schemas.openxmlformats.org/officeDocument/2006/customXml" ds:itemID="{EBC645DA-B537-4411-B44B-966A1DC779F3}">
  <ds:schemaRefs>
    <ds:schemaRef ds:uri="http://schemas.microsoft.com/office/2006/metadata/customXsn"/>
  </ds:schemaRefs>
</ds:datastoreItem>
</file>

<file path=customXml/itemProps7.xml><?xml version="1.0" encoding="utf-8"?>
<ds:datastoreItem xmlns:ds="http://schemas.openxmlformats.org/officeDocument/2006/customXml" ds:itemID="{74CC6590-7A12-44CA-9BF3-D1B90210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2379</Words>
  <Characters>14567</Characters>
  <Application>Microsoft Office Word</Application>
  <DocSecurity>4</DocSecurity>
  <Lines>121</Lines>
  <Paragraphs>33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Rantatalo</dc:creator>
  <cp:lastModifiedBy>Hanna Björnfors</cp:lastModifiedBy>
  <cp:revision>2</cp:revision>
  <cp:lastPrinted>2015-02-17T08:00:00Z</cp:lastPrinted>
  <dcterms:created xsi:type="dcterms:W3CDTF">2015-02-27T13:58:00Z</dcterms:created>
  <dcterms:modified xsi:type="dcterms:W3CDTF">2015-02-27T13:58:00Z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_dlc_DocIdItemGuid">
    <vt:lpwstr>c427e1cc-66b8-4e8b-a15d-22d02084b6f5</vt:lpwstr>
  </property>
  <property fmtid="{D5CDD505-2E9C-101B-9397-08002B2CF9AE}" pid="6" name="ContentTypeId">
    <vt:lpwstr>0x01010053E1D612BA3F4E21AA250ECD751942B300622A032CB6EAB248A9051402419E24BE</vt:lpwstr>
  </property>
  <property fmtid="{D5CDD505-2E9C-101B-9397-08002B2CF9AE}" pid="7" name="Departementsenhet">
    <vt:lpwstr/>
  </property>
  <property fmtid="{D5CDD505-2E9C-101B-9397-08002B2CF9AE}" pid="8" name="Aktivitetskategori">
    <vt:lpwstr/>
  </property>
</Properties>
</file>